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6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7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53" w:hRule="auto" w:wrap="none" w:vAnchor="page" w:hAnchor="page" w:x="9814" w:y="95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oQ-PP_26-107</w:t>
      </w:r>
    </w:p>
    <w:p>
      <w:pPr>
        <w:framePr w:w="1097" w:hRule="auto" w:wrap="none" w:vAnchor="page" w:hAnchor="page" w:x="9463" w:y="130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2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18.09.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913" w:hRule="auto" w:wrap="none" w:vAnchor="page" w:hAnchor="page" w:x="9456" w:y="145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 xml:space="preserve">(supersedes CoQ-PP_26-025 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of 06.06.2026)</w:t>
      </w:r>
    </w:p>
    <w:p>
      <w:pPr>
        <w:framePr w:w="1516" w:hRule="auto" w:wrap="none" w:vAnchor="page" w:hAnchor="page" w:x="576" w:y="228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P050192</w:t>
      </w:r>
    </w:p>
    <w:p>
      <w:pPr>
        <w:framePr w:w="92" w:hRule="auto" w:wrap="none" w:vAnchor="page" w:hAnchor="page" w:x="2182" w:y="237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5054" w:hRule="auto" w:wrap="none" w:vAnchor="page" w:hAnchor="page" w:x="2364" w:y="228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BLUE SUN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SET SHERBET</w:t>
      </w:r>
    </w:p>
    <w:p>
      <w:pPr>
        <w:framePr w:w="1704" w:hRule="auto" w:wrap="none" w:vAnchor="page" w:hAnchor="page" w:x="7563" w:y="2287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20.52 %</w:t>
      </w:r>
    </w:p>
    <w:p>
      <w:pPr>
        <w:framePr w:w="984" w:hRule="auto" w:wrap="none" w:vAnchor="page" w:hAnchor="page" w:x="576" w:y="284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0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15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1915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548" w:hRule="auto" w:wrap="none" w:vAnchor="page" w:hAnchor="page" w:x="2812" w:y="294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3"/>
          <w:kern w:val="0"/>
          <w:sz w:val="13"/>
          <w:szCs w:val="13"/>
        </w:rPr>
        <w:t>I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NDICA</w:t>
      </w:r>
    </w:p>
    <w:p>
      <w:pPr>
        <w:framePr w:w="548" w:hRule="auto" w:wrap="none" w:vAnchor="page" w:hAnchor="page" w:x="2812" w:y="293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NDICA</w:t>
      </w:r>
    </w:p>
    <w:p>
      <w:pPr>
        <w:framePr w:w="460" w:hRule="auto" w:wrap="none" w:vAnchor="page" w:hAnchor="page" w:x="3781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3781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284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0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77" w:y="294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THC</w:t>
      </w:r>
    </w:p>
    <w:p>
      <w:pPr>
        <w:framePr w:w="326" w:hRule="auto" w:wrap="none" w:vAnchor="page" w:hAnchor="page" w:x="7377" w:y="293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23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123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1288" w:hRule="auto" w:wrap="none" w:vAnchor="page" w:hAnchor="page" w:x="1702" w:y="33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BSS_THC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20:CBD1</w:t>
      </w:r>
    </w:p>
    <w:p>
      <w:pPr>
        <w:framePr w:w="671" w:hRule="auto" w:wrap="none" w:vAnchor="page" w:hAnchor="page" w:x="4330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4330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622" w:hRule="auto" w:wrap="none" w:vAnchor="page" w:hAnchor="page" w:x="5041" w:y="3294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6"/>
          <w:szCs w:val="16"/>
        </w:rPr>
        <w:t>2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6"/>
          <w:szCs w:val="16"/>
        </w:rPr>
        <w:t>0.00%</w:t>
      </w:r>
    </w:p>
    <w:p>
      <w:pPr>
        <w:framePr w:w="625" w:hRule="auto" w:wrap="none" w:vAnchor="page" w:hAnchor="page" w:x="5687" w:y="3313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1"/>
          <w:kern w:val="0"/>
          <w:sz w:val="14"/>
          <w:szCs w:val="14"/>
        </w:rPr>
        <w:t>.89%</w:t>
      </w:r>
    </w:p>
    <w:p>
      <w:pPr>
        <w:framePr w:w="1370" w:hRule="auto" w:wrap="none" w:vAnchor="page" w:hAnchor="page" w:x="5041" w:y="350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1"/>
          <w:kern w:val="0"/>
          <w:sz w:val="13"/>
          <w:szCs w:val="13"/>
        </w:rPr>
        <w:t>(18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.11 – 21.88 %)</w:t>
      </w:r>
    </w:p>
    <w:p>
      <w:pPr>
        <w:framePr w:w="1869" w:hRule="auto" w:wrap="none" w:vAnchor="page" w:hAnchor="page" w:x="7751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7751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1707" w:hRule="auto" w:wrap="none" w:vAnchor="page" w:hAnchor="page" w:x="9660" w:y="33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QCSP_001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_BSS-III_v.01</w:t>
      </w:r>
    </w:p>
    <w:p>
      <w:pPr>
        <w:framePr w:w="1435" w:hRule="auto" w:wrap="none" w:vAnchor="page" w:hAnchor="page" w:x="576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79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87" w:y="38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192</w:t>
      </w:r>
    </w:p>
    <w:p>
      <w:pPr>
        <w:framePr w:w="1454" w:hRule="auto" w:wrap="none" w:vAnchor="page" w:hAnchor="page" w:x="3109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109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594" w:hRule="auto" w:wrap="none" w:vAnchor="page" w:hAnchor="page" w:x="4602" w:y="38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9.2025</w:t>
      </w:r>
    </w:p>
    <w:p>
      <w:pPr>
        <w:framePr w:w="1208" w:hRule="auto" w:wrap="none" w:vAnchor="page" w:hAnchor="page" w:x="5455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455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594" w:hRule="auto" w:wrap="none" w:vAnchor="page" w:hAnchor="page" w:x="6702" w:y="38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0.2025</w:t>
      </w:r>
    </w:p>
    <w:p>
      <w:pPr>
        <w:framePr w:w="1147" w:hRule="auto" w:wrap="none" w:vAnchor="page" w:hAnchor="page" w:x="7555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7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7" w:y="379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391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2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3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1205" w:hRule="auto" w:wrap="none" w:vAnchor="page" w:hAnchor="page" w:x="2148" w:y="419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042" w:hRule="auto" w:wrap="none" w:vAnchor="page" w:hAnchor="page" w:x="3313" w:y="421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ТРИПЛЕКС АЛУ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КЕСА</w:t>
      </w:r>
    </w:p>
    <w:p>
      <w:pPr>
        <w:framePr w:w="3469" w:hRule="auto" w:wrap="none" w:vAnchor="page" w:hAnchor="page" w:x="2148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PET 12 · ALU 7 · PE 80 · 300×500 mm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 xml:space="preserve"> · net 400.0 g ±3%</w:t>
      </w:r>
    </w:p>
    <w:p>
      <w:pPr>
        <w:framePr w:w="1005" w:hRule="auto" w:wrap="none" w:vAnchor="page" w:hAnchor="page" w:x="6058" w:y="42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3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19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21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2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6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6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7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58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58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58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58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58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8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96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1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1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60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20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3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3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35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3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4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1025" w:hRule="auto" w:wrap="none" w:vAnchor="page" w:hAnchor="page" w:x="7743" w:y="63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Per Secti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on 01 </w:t>
      </w:r>
    </w:p>
    <w:p>
      <w:pPr>
        <w:framePr w:w="100" w:hRule="auto" w:wrap="none" w:vAnchor="page" w:hAnchor="page" w:x="8743" w:y="63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11" w:hRule="auto" w:wrap="none" w:vAnchor="page" w:hAnchor="page" w:x="8884" w:y="63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Согласно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Погл. 01</w:t>
      </w:r>
    </w:p>
    <w:p>
      <w:pPr>
        <w:framePr w:w="582" w:hRule="auto" w:wrap="none" w:vAnchor="page" w:hAnchor="page" w:x="10788" w:y="6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2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0.52 %</w:t>
      </w:r>
    </w:p>
    <w:p>
      <w:pPr>
        <w:framePr w:w="115" w:hRule="auto" w:wrap="none" w:vAnchor="page" w:hAnchor="page" w:x="576" w:y="66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6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6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68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68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6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8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9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6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71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1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1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2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2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0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2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3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4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3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3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504" w:hRule="auto" w:wrap="none" w:vAnchor="page" w:hAnchor="page" w:x="10866" w:y="73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8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.60 %</w:t>
      </w:r>
    </w:p>
    <w:p>
      <w:pPr>
        <w:framePr w:w="115" w:hRule="auto" w:wrap="none" w:vAnchor="page" w:hAnchor="page" w:x="576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6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6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6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7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7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7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736" w:hRule="auto" w:wrap="none" w:vAnchor="page" w:hAnchor="page" w:x="10633" w:y="77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20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 CFU/g</w:t>
      </w:r>
    </w:p>
    <w:p>
      <w:pPr>
        <w:framePr w:w="40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736" w:hRule="auto" w:wrap="none" w:vAnchor="page" w:hAnchor="page" w:x="10633" w:y="78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20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 CFU/g</w:t>
      </w:r>
    </w:p>
    <w:p>
      <w:pPr>
        <w:framePr w:w="1768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139" w:hRule="auto" w:wrap="none" w:vAnchor="page" w:hAnchor="page" w:x="10235" w:y="8068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5"/>
          <w:kern w:val="0"/>
          <w:sz w:val="10"/>
          <w:szCs w:val="10"/>
        </w:rPr>
        <w:t>&lt; 10² and &gt; 1</w:t>
      </w:r>
      <w:r>
        <w:rPr>
          <w:rFonts w:ascii="Roboto Mono" w:hAnsi="Roboto Mono" w:cs="Roboto Mono" w:eastAsia="Roboto Mono"/>
          <w:b/>
          <w:i w:val="0"/>
          <w:color w:val="1B3A5C"/>
          <w:spacing w:val="-6"/>
          <w:kern w:val="0"/>
          <w:sz w:val="10"/>
          <w:szCs w:val="10"/>
        </w:rPr>
        <w:t>0 CFU/g</w:t>
      </w:r>
    </w:p>
    <w:p>
      <w:pPr>
        <w:framePr w:w="832" w:hRule="auto" w:wrap="none" w:vAnchor="page" w:hAnchor="page" w:x="1182" w:y="82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2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2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33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4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4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4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4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4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4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56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6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6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64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7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88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7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88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832" w:hRule="auto" w:wrap="none" w:vAnchor="page" w:hAnchor="page" w:x="1182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89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8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89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1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189" w:hRule="auto" w:wrap="none" w:vAnchor="page" w:hAnchor="page" w:x="576" w:y="93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3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3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3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4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4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4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4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24 mg/kg</w:t>
      </w:r>
    </w:p>
    <w:p>
      <w:pPr>
        <w:framePr w:w="976" w:hRule="auto" w:wrap="none" w:vAnchor="page" w:hAnchor="page" w:x="1182" w:y="95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6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6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04 mg/kg</w:t>
      </w:r>
    </w:p>
    <w:p>
      <w:pPr>
        <w:framePr w:w="97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7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25 mg/kg</w:t>
      </w:r>
    </w:p>
    <w:p>
      <w:pPr>
        <w:framePr w:w="97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968" w:hRule="auto" w:wrap="none" w:vAnchor="page" w:hAnchor="page" w:x="10401" w:y="98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036 mg/kg</w:t>
      </w:r>
    </w:p>
    <w:p>
      <w:pPr>
        <w:framePr w:w="189" w:hRule="auto" w:wrap="none" w:vAnchor="page" w:hAnchor="page" w:x="576" w:y="100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0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195" w:hRule="auto" w:wrap="none" w:vAnchor="page" w:hAnchor="page" w:x="11175" w:y="10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2819" w:hRule="auto" w:wrap="none" w:vAnchor="page" w:hAnchor="page" w:x="576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61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5790" w:y="116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A-PP_26-112 </w:t>
      </w:r>
    </w:p>
    <w:p>
      <w:pPr>
        <w:framePr w:w="103" w:hRule="auto" w:wrap="none" w:vAnchor="page" w:hAnchor="page" w:x="7434" w:y="116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985" w:hRule="auto" w:wrap="none" w:vAnchor="page" w:hAnchor="page" w:x="7542" w:y="116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A-PP_26-023 </w:t>
      </w:r>
    </w:p>
    <w:p>
      <w:pPr>
        <w:framePr w:w="732" w:hRule="auto" w:wrap="none" w:vAnchor="page" w:hAnchor="page" w:x="10638" w:y="116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1, 2, 7,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 xml:space="preserve"> 8</w:t>
      </w:r>
    </w:p>
    <w:p>
      <w:pPr>
        <w:framePr w:w="3855" w:hRule="auto" w:wrap="none" w:vAnchor="page" w:hAnchor="page" w:x="576" w:y="1189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203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859" w:hRule="auto" w:wrap="none" w:vAnchor="page" w:hAnchor="page" w:x="6010" w:y="119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115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7/2058/25 </w:t>
      </w:r>
    </w:p>
    <w:p>
      <w:pPr>
        <w:framePr w:w="103" w:hRule="auto" w:wrap="none" w:vAnchor="page" w:hAnchor="page" w:x="7529" w:y="119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670" w:hRule="auto" w:wrap="none" w:vAnchor="page" w:hAnchor="page" w:x="7637" w:y="119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566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1/2025 </w:t>
      </w:r>
    </w:p>
    <w:p>
      <w:pPr>
        <w:framePr w:w="386" w:hRule="auto" w:wrap="none" w:vAnchor="page" w:hAnchor="page" w:x="10984" w:y="119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9,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 xml:space="preserve"> 11</w:t>
      </w:r>
    </w:p>
    <w:p>
      <w:pPr>
        <w:framePr w:w="4777" w:hRule="auto" w:wrap="none" w:vAnchor="page" w:hAnchor="page" w:x="576" w:y="1219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Farmahem DOOEL — Laboratory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for Instrumental Analysis · ISO/IEC 17025:2017</w:t>
      </w:r>
    </w:p>
    <w:p>
      <w:pPr>
        <w:framePr w:w="3145" w:hRule="auto" w:wrap="none" w:vAnchor="page" w:hAnchor="page" w:x="576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Фармахем ДООЕЛ — Лаборатoрија за инструментална анал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иза </w:t>
      </w:r>
    </w:p>
    <w:p>
      <w:pPr>
        <w:framePr w:w="147" w:hRule="auto" w:wrap="none" w:vAnchor="page" w:hAnchor="page" w:x="3711" w:y="1231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4534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813" w:hRule="auto" w:wrap="none" w:vAnchor="page" w:hAnchor="page" w:x="4606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sela Voda, 1000</w:t>
      </w:r>
    </w:p>
    <w:p>
      <w:pPr>
        <w:framePr w:w="537" w:hRule="auto" w:wrap="none" w:vAnchor="page" w:hAnchor="page" w:x="576" w:y="124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Skopje, MK</w:t>
      </w:r>
    </w:p>
    <w:p>
      <w:pPr>
        <w:framePr w:w="733" w:hRule="auto" w:wrap="none" w:vAnchor="page" w:hAnchor="page" w:x="6042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220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-2-К/26 </w:t>
      </w:r>
    </w:p>
    <w:p>
      <w:pPr>
        <w:framePr w:w="103" w:hRule="auto" w:wrap="none" w:vAnchor="page" w:hAnchor="page" w:x="7434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733" w:hRule="auto" w:wrap="none" w:vAnchor="page" w:hAnchor="page" w:x="7542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220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-2-М/26 </w:t>
      </w:r>
    </w:p>
    <w:p>
      <w:pPr>
        <w:framePr w:w="1009" w:hRule="auto" w:wrap="none" w:vAnchor="page" w:hAnchor="page" w:x="10361" w:y="123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3, 4, 5, 6, 10</w:t>
      </w:r>
    </w:p>
    <w:p>
      <w:pPr>
        <w:framePr w:w="3140" w:hRule="auto" w:wrap="none" w:vAnchor="page" w:hAnchor="page" w:x="576" w:y="126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State Phytosanitary Labo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ratory · ISO/IEC 17025:2017</w:t>
      </w:r>
    </w:p>
    <w:p>
      <w:pPr>
        <w:framePr w:w="1975" w:hRule="auto" w:wrap="none" w:vAnchor="page" w:hAnchor="page" w:x="576" w:y="127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Државна фитосанитарна лаборатори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ја </w:t>
      </w:r>
    </w:p>
    <w:p>
      <w:pPr>
        <w:framePr w:w="147" w:hRule="auto" w:wrap="none" w:vAnchor="page" w:hAnchor="page" w:x="2541" w:y="1273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364" w:y="127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2032" w:hRule="auto" w:wrap="none" w:vAnchor="page" w:hAnchor="page" w:x="3435" w:y="127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Ale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ksandar Makedonski bb, 1000 Skopje, MK</w:t>
      </w:r>
    </w:p>
    <w:p>
      <w:pPr>
        <w:framePr w:w="859" w:hRule="auto" w:wrap="none" w:vAnchor="page" w:hAnchor="page" w:x="6729" w:y="1265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108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02_2845/2 </w:t>
      </w:r>
    </w:p>
    <w:p>
      <w:pPr>
        <w:framePr w:w="178" w:hRule="auto" w:wrap="none" w:vAnchor="page" w:hAnchor="page" w:x="11191" w:y="126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6"/>
          <w:kern w:val="0"/>
          <w:sz w:val="12"/>
          <w:szCs w:val="12"/>
        </w:rPr>
        <w:t>12</w:t>
      </w:r>
    </w:p>
    <w:p>
      <w:pPr>
        <w:framePr w:w="2295" w:hRule="auto" w:wrap="none" w:vAnchor="page" w:hAnchor="page" w:x="576" w:y="1367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69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82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859" w:hRule="auto" w:wrap="none" w:vAnchor="page" w:hAnchor="page" w:x="3535" w:y="13720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P05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0192</w:t>
      </w:r>
    </w:p>
    <w:p>
      <w:pPr>
        <w:framePr w:w="1870" w:hRule="auto" w:wrap="none" w:vAnchor="page" w:hAnchor="page" w:x="5130" w:y="1376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74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7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7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74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73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28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11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1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31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45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62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9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18.09.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28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11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1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31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45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62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9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18.09.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7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79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7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8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8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71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7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7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7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71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7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74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74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312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316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31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31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31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34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34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35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FEBC1F49-D733-4326-AE12-F908A5ECED73}"/>
    <w:embedItalic r:id="rIdFont2" w:fontKey="{A74ACED7-6E2B-470B-B99B-8EDE2F9833FB}"/>
    <w:embedBold r:id="rIdFont3" w:fontKey="{4F488326-5970-45C3-9196-7D64C95B4408}"/>
  </w:font>
  <w:font w:name="Montserrat ExtraBold">
    <w:charset w:val="00"/>
    <w:family w:val="auto"/>
    <w:pitch w:val="variable"/>
    <w:embedRegular r:id="rIdFont4" w:fontKey="{63B33744-643B-4E2B-B6EE-AC646AE1A4C7}"/>
  </w:font>
  <w:font w:name="Montserrat Medium">
    <w:charset w:val="00"/>
    <w:family w:val="auto"/>
    <w:pitch w:val="variable"/>
    <w:embedRegular r:id="rIdFont5" w:fontKey="{CF6820C7-8A58-4800-8DF2-DD396F376892}"/>
    <w:embedItalic r:id="rIdFont6" w:fontKey="{657A00DA-6E2C-4A23-9E75-D152C006B773}"/>
  </w:font>
  <w:font w:name="Montserrat SemiBold">
    <w:charset w:val="00"/>
    <w:family w:val="auto"/>
    <w:pitch w:val="variable"/>
    <w:embedRegular r:id="rIdFont7" w:fontKey="{90C3A027-B184-4EA3-A74D-7B6F943B1785}"/>
    <w:embedItalic r:id="rIdFont8" w:fontKey="{9F2671EC-5644-4254-8180-0CE66263C8D0}"/>
  </w:font>
  <w:font w:name="Orbitron">
    <w:charset w:val="00"/>
    <w:family w:val="auto"/>
    <w:pitch w:val="variable"/>
    <w:embedBold r:id="rIdFont9" w:fontKey="{6AF510BD-3D5A-4B59-8E94-1231CC6A1BBF}"/>
  </w:font>
  <w:font w:name="Orbitron Black">
    <w:charset w:val="00"/>
    <w:family w:val="auto"/>
    <w:pitch w:val="variable"/>
    <w:embedRegular r:id="rIdFont10" w:fontKey="{07F4E293-1426-4209-9117-1BC3E69C8863}"/>
  </w:font>
  <w:font w:name="Orbitron ExtraBold">
    <w:charset w:val="00"/>
    <w:family w:val="auto"/>
    <w:pitch w:val="variable"/>
    <w:embedRegular r:id="rIdFont11" w:fontKey="{86A259B5-2056-418C-8BEE-4E903000AE28}"/>
  </w:font>
  <w:font w:name="Orbitron Medium">
    <w:charset w:val="00"/>
    <w:family w:val="auto"/>
    <w:pitch w:val="variable"/>
    <w:embedRegular r:id="rIdFont12" w:fontKey="{821E8D99-B444-454B-BD49-1EB09A6452B7}"/>
  </w:font>
  <w:font w:name="Roboto Mono">
    <w:charset w:val="00"/>
    <w:family w:val="auto"/>
    <w:pitch w:val="variable"/>
    <w:embedRegular r:id="rIdFont13" w:fontKey="{41117EB2-1FC8-4199-9703-23746E700019}"/>
    <w:embedItalic r:id="rIdFont14" w:fontKey="{3BB9938C-1AB3-4562-851E-92AF0F84B160}"/>
    <w:embedBold r:id="rIdFont15" w:fontKey="{BB8FCF14-290F-4333-8259-D8B940F2AD62}"/>
  </w:font>
  <w:font w:name="Roboto Mono Medium">
    <w:charset w:val="00"/>
    <w:family w:val="auto"/>
    <w:pitch w:val="variable"/>
    <w:embedRegular r:id="rIdFont16" w:fontKey="{33ECD89C-606A-447E-B525-3086E5457C80}"/>
    <w:embedItalic r:id="rIdFont17" w:fontKey="{D3003216-214D-4D60-9B83-E6E0A6E8A67C}"/>
  </w:font>
  <w:font w:name="Roboto Mono SemiBold">
    <w:charset w:val="00"/>
    <w:family w:val="auto"/>
    <w:pitch w:val="variable"/>
    <w:embedRegular r:id="rIdFont18" w:fontKey="{983447E7-770B-4C0E-B9E6-02FCCC1FE836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