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6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7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509" w:hRule="auto" w:wrap="none" w:vAnchor="page" w:hAnchor="page" w:x="9857" w:y="95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oQ-PP_26-113</w:t>
      </w:r>
    </w:p>
    <w:p>
      <w:pPr>
        <w:framePr w:w="1097" w:hRule="auto" w:wrap="none" w:vAnchor="page" w:hAnchor="page" w:x="9463" w:y="130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27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18.09.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912" w:hRule="auto" w:wrap="none" w:vAnchor="page" w:hAnchor="page" w:x="9456" w:y="145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 xml:space="preserve">(supersedes CoQ-PP_26-032 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>of 06.06.2026)</w:t>
      </w:r>
    </w:p>
    <w:p>
      <w:pPr>
        <w:framePr w:w="1516" w:hRule="auto" w:wrap="none" w:vAnchor="page" w:hAnchor="page" w:x="576" w:y="228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P050282</w:t>
      </w:r>
    </w:p>
    <w:p>
      <w:pPr>
        <w:framePr w:w="92" w:hRule="auto" w:wrap="none" w:vAnchor="page" w:hAnchor="page" w:x="2182" w:y="237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3456" w:hRule="auto" w:wrap="none" w:vAnchor="page" w:hAnchor="page" w:x="2364" w:y="228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CLEMOSA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 xml:space="preserve"> A BUD</w:t>
      </w:r>
    </w:p>
    <w:p>
      <w:pPr>
        <w:framePr w:w="1414" w:hRule="auto" w:wrap="none" w:vAnchor="page" w:hAnchor="page" w:x="5964" w:y="2287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8.65 %</w:t>
      </w:r>
    </w:p>
    <w:p>
      <w:pPr>
        <w:framePr w:w="984" w:hRule="auto" w:wrap="none" w:vAnchor="page" w:hAnchor="page" w:x="576" w:y="284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0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894" w:y="294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YBRID</w:t>
      </w:r>
    </w:p>
    <w:p>
      <w:pPr>
        <w:framePr w:w="593" w:hRule="auto" w:wrap="none" w:vAnchor="page" w:hAnchor="page" w:x="1894" w:y="293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37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2937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25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3825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284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0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294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293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199" w:hRule="auto" w:wrap="none" w:vAnchor="page" w:hAnchor="page" w:x="1702" w:y="33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CLE_THC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8:CBD1</w:t>
      </w:r>
    </w:p>
    <w:p>
      <w:pPr>
        <w:framePr w:w="671" w:hRule="auto" w:wrap="none" w:vAnchor="page" w:hAnchor="page" w:x="4444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444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525" w:hRule="auto" w:wrap="none" w:vAnchor="page" w:hAnchor="page" w:x="5155" w:y="329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8.00%</w:t>
      </w:r>
    </w:p>
    <w:p>
      <w:pPr>
        <w:framePr w:w="625" w:hRule="auto" w:wrap="none" w:vAnchor="page" w:hAnchor="page" w:x="5702" w:y="331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0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.80%</w:t>
      </w:r>
    </w:p>
    <w:p>
      <w:pPr>
        <w:framePr w:w="1213" w:hRule="auto" w:wrap="none" w:vAnchor="page" w:hAnchor="page" w:x="5155" w:y="350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(7.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20 – 8.79 %)</w:t>
      </w:r>
    </w:p>
    <w:p>
      <w:pPr>
        <w:framePr w:w="1869" w:hRule="auto" w:wrap="none" w:vAnchor="page" w:hAnchor="page" w:x="7911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911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548" w:hRule="auto" w:wrap="none" w:vAnchor="page" w:hAnchor="page" w:x="9819" w:y="33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1_CLE-I_v.01</w:t>
      </w:r>
    </w:p>
    <w:p>
      <w:pPr>
        <w:framePr w:w="1435" w:hRule="auto" w:wrap="none" w:vAnchor="page" w:hAnchor="page" w:x="576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79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8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282</w:t>
      </w:r>
    </w:p>
    <w:p>
      <w:pPr>
        <w:framePr w:w="1454" w:hRule="auto" w:wrap="none" w:vAnchor="page" w:hAnchor="page" w:x="3109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109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594" w:hRule="auto" w:wrap="none" w:vAnchor="page" w:hAnchor="page" w:x="4602" w:y="38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0.2025</w:t>
      </w:r>
    </w:p>
    <w:p>
      <w:pPr>
        <w:framePr w:w="1208" w:hRule="auto" w:wrap="none" w:vAnchor="page" w:hAnchor="page" w:x="5455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455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594" w:hRule="auto" w:wrap="none" w:vAnchor="page" w:hAnchor="page" w:x="6702" w:y="38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2.2025</w:t>
      </w:r>
    </w:p>
    <w:p>
      <w:pPr>
        <w:framePr w:w="1147" w:hRule="auto" w:wrap="none" w:vAnchor="page" w:hAnchor="page" w:x="7555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7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79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391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2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3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19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21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2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3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19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21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2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6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63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5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7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58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58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58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58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58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8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96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1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1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1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1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0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2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3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3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35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3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4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3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3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3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04" w:hRule="auto" w:wrap="none" w:vAnchor="page" w:hAnchor="page" w:x="10866" w:y="6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8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.65 %</w:t>
      </w:r>
    </w:p>
    <w:p>
      <w:pPr>
        <w:framePr w:w="115" w:hRule="auto" w:wrap="none" w:vAnchor="page" w:hAnchor="page" w:x="576" w:y="66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6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68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68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6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8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9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6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1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1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1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2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2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0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2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3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4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3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3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504" w:hRule="auto" w:wrap="none" w:vAnchor="page" w:hAnchor="page" w:x="10866" w:y="73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9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.68 %</w:t>
      </w:r>
    </w:p>
    <w:p>
      <w:pPr>
        <w:framePr w:w="115" w:hRule="auto" w:wrap="none" w:vAnchor="page" w:hAnchor="page" w:x="576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6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6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60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7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7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7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7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77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400" w:hRule="auto" w:wrap="none" w:vAnchor="page" w:hAnchor="page" w:x="1182" w:y="78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79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79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8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78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1768" w:hRule="auto" w:wrap="none" w:vAnchor="page" w:hAnchor="page" w:x="1182" w:y="80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0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80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832" w:hRule="auto" w:wrap="none" w:vAnchor="page" w:hAnchor="page" w:x="1182" w:y="82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2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2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33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4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46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4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4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4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4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6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64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6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64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7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88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7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88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89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93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3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3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3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4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4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4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4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32 mg/kg</w:t>
      </w:r>
    </w:p>
    <w:p>
      <w:pPr>
        <w:framePr w:w="976" w:hRule="auto" w:wrap="none" w:vAnchor="page" w:hAnchor="page" w:x="1182" w:y="95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6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6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02 mg/kg</w:t>
      </w:r>
    </w:p>
    <w:p>
      <w:pPr>
        <w:framePr w:w="976" w:hRule="auto" w:wrap="none" w:vAnchor="page" w:hAnchor="page" w:x="1182" w:y="97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7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7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7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13 mg/kg</w:t>
      </w:r>
    </w:p>
    <w:p>
      <w:pPr>
        <w:framePr w:w="976" w:hRule="auto" w:wrap="none" w:vAnchor="page" w:hAnchor="page" w:x="1182" w:y="98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99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99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8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21 mg/kg</w:t>
      </w:r>
    </w:p>
    <w:p>
      <w:pPr>
        <w:framePr w:w="189" w:hRule="auto" w:wrap="none" w:vAnchor="page" w:hAnchor="page" w:x="576" w:y="10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10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61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6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A-PP_26-117 </w:t>
      </w:r>
    </w:p>
    <w:p>
      <w:pPr>
        <w:framePr w:w="524" w:hRule="auto" w:wrap="none" w:vAnchor="page" w:hAnchor="page" w:x="10845" w:y="116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4707" w:hRule="auto" w:wrap="none" w:vAnchor="page" w:hAnchor="page" w:x="576" w:y="1189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Faculty of Pharmacy — Cente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r for Natural Products · ISO/IEC 17025:2017</w:t>
      </w:r>
    </w:p>
    <w:p>
      <w:pPr>
        <w:framePr w:w="2228" w:hRule="auto" w:wrap="none" w:vAnchor="page" w:hAnchor="page" w:x="576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УКИМ ФФ — Центар за Природни Произв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оди </w:t>
      </w:r>
    </w:p>
    <w:p>
      <w:pPr>
        <w:framePr w:w="147" w:hRule="auto" w:wrap="none" w:vAnchor="page" w:hAnchor="page" w:x="2794" w:y="1203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617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654" w:hRule="auto" w:wrap="none" w:vAnchor="page" w:hAnchor="page" w:x="3689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Mot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her Theresa 47, 1000 Skopje, MK</w:t>
      </w:r>
    </w:p>
    <w:p>
      <w:pPr>
        <w:framePr w:w="607" w:hRule="auto" w:wrap="none" w:vAnchor="page" w:hAnchor="page" w:x="6855" w:y="119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ППК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25370 </w:t>
      </w:r>
    </w:p>
    <w:p>
      <w:pPr>
        <w:framePr w:w="109" w:hRule="auto" w:wrap="none" w:vAnchor="page" w:hAnchor="page" w:x="11260" w:y="119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2"/>
          <w:szCs w:val="12"/>
        </w:rPr>
        <w:t>8</w:t>
      </w:r>
    </w:p>
    <w:p>
      <w:pPr>
        <w:framePr w:w="3855" w:hRule="auto" w:wrap="none" w:vAnchor="page" w:hAnchor="page" w:x="576" w:y="1219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31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859" w:hRule="auto" w:wrap="none" w:vAnchor="page" w:hAnchor="page" w:x="6010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121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9/2170/25 </w:t>
      </w:r>
    </w:p>
    <w:p>
      <w:pPr>
        <w:framePr w:w="103" w:hRule="auto" w:wrap="none" w:vAnchor="page" w:hAnchor="page" w:x="7529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670" w:hRule="auto" w:wrap="none" w:vAnchor="page" w:hAnchor="page" w:x="7637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570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0/2025 </w:t>
      </w:r>
    </w:p>
    <w:p>
      <w:pPr>
        <w:framePr w:w="663" w:hRule="auto" w:wrap="none" w:vAnchor="page" w:hAnchor="page" w:x="10707" w:y="122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 xml:space="preserve">9, 11, 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12</w:t>
      </w:r>
    </w:p>
    <w:p>
      <w:pPr>
        <w:framePr w:w="4777" w:hRule="auto" w:wrap="none" w:vAnchor="page" w:hAnchor="page" w:x="576" w:y="1248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Farmahem DOOEL — Laboratory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for Instrumental Analysis · ISO/IEC 17025:2017</w:t>
      </w:r>
    </w:p>
    <w:p>
      <w:pPr>
        <w:framePr w:w="3145" w:hRule="auto" w:wrap="none" w:vAnchor="page" w:hAnchor="page" w:x="576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Фармахем ДООЕЛ — Лаборатoрија за инструментална анал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иза </w:t>
      </w:r>
    </w:p>
    <w:p>
      <w:pPr>
        <w:framePr w:w="147" w:hRule="auto" w:wrap="none" w:vAnchor="page" w:hAnchor="page" w:x="3711" w:y="1260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4534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813" w:hRule="auto" w:wrap="none" w:vAnchor="page" w:hAnchor="page" w:x="4606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sela Voda, 1000</w:t>
      </w:r>
    </w:p>
    <w:p>
      <w:pPr>
        <w:framePr w:w="537" w:hRule="auto" w:wrap="none" w:vAnchor="page" w:hAnchor="page" w:x="576" w:y="127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Skopje, MK</w:t>
      </w:r>
    </w:p>
    <w:p>
      <w:pPr>
        <w:framePr w:w="733" w:hRule="auto" w:wrap="none" w:vAnchor="page" w:hAnchor="page" w:x="6042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220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-7-К/26 </w:t>
      </w:r>
    </w:p>
    <w:p>
      <w:pPr>
        <w:framePr w:w="103" w:hRule="auto" w:wrap="none" w:vAnchor="page" w:hAnchor="page" w:x="7434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733" w:hRule="auto" w:wrap="none" w:vAnchor="page" w:hAnchor="page" w:x="7542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220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-7-М/26 </w:t>
      </w:r>
    </w:p>
    <w:p>
      <w:pPr>
        <w:framePr w:w="1009" w:hRule="auto" w:wrap="none" w:vAnchor="page" w:hAnchor="page" w:x="10361" w:y="126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3, 4, 5, 6, 10</w:t>
      </w:r>
    </w:p>
    <w:p>
      <w:pPr>
        <w:framePr w:w="2295" w:hRule="auto" w:wrap="none" w:vAnchor="page" w:hAnchor="page" w:x="576" w:y="1367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69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82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3720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P05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0282</w:t>
      </w:r>
    </w:p>
    <w:p>
      <w:pPr>
        <w:framePr w:w="1870" w:hRule="auto" w:wrap="none" w:vAnchor="page" w:hAnchor="page" w:x="5130" w:y="1376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74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7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7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74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73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28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11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1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31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45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62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9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18.09.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28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11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1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31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45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62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9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18.09.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7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79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7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8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8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71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7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7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7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71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7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74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74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312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316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31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31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31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34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34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35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3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DF2981DC-21FB-4228-AEBD-DBDFEA376F9E}"/>
    <w:embedItalic r:id="rIdFont2" w:fontKey="{A719B977-26A9-4157-A199-D44C08B4843A}"/>
    <w:embedBold r:id="rIdFont3" w:fontKey="{F2DC49CA-F8BF-4504-AA69-5E2F5B9D68AE}"/>
  </w:font>
  <w:font w:name="Montserrat ExtraBold">
    <w:charset w:val="00"/>
    <w:family w:val="auto"/>
    <w:pitch w:val="variable"/>
    <w:embedRegular r:id="rIdFont4" w:fontKey="{89573A73-B48D-40C7-9198-607305F746D2}"/>
  </w:font>
  <w:font w:name="Montserrat Medium">
    <w:charset w:val="00"/>
    <w:family w:val="auto"/>
    <w:pitch w:val="variable"/>
    <w:embedRegular r:id="rIdFont5" w:fontKey="{39E3B7AC-1490-4310-B3BE-72728A607727}"/>
    <w:embedItalic r:id="rIdFont6" w:fontKey="{A276F9B8-D21A-4943-BFF3-CE0D4EAA371F}"/>
  </w:font>
  <w:font w:name="Montserrat SemiBold">
    <w:charset w:val="00"/>
    <w:family w:val="auto"/>
    <w:pitch w:val="variable"/>
    <w:embedRegular r:id="rIdFont7" w:fontKey="{00CFDFBB-D95C-4AD5-A0C1-57607295D11A}"/>
    <w:embedItalic r:id="rIdFont8" w:fontKey="{945461C3-0FA7-422D-AF79-6D2BF6586731}"/>
  </w:font>
  <w:font w:name="Orbitron">
    <w:charset w:val="00"/>
    <w:family w:val="auto"/>
    <w:pitch w:val="variable"/>
    <w:embedBold r:id="rIdFont9" w:fontKey="{ED0E77B0-CD03-4478-90A7-4DB563C66413}"/>
  </w:font>
  <w:font w:name="Orbitron Black">
    <w:charset w:val="00"/>
    <w:family w:val="auto"/>
    <w:pitch w:val="variable"/>
    <w:embedRegular r:id="rIdFont10" w:fontKey="{D353EDC5-B19C-4CDC-A521-68DEB8AAD94D}"/>
  </w:font>
  <w:font w:name="Orbitron ExtraBold">
    <w:charset w:val="00"/>
    <w:family w:val="auto"/>
    <w:pitch w:val="variable"/>
    <w:embedRegular r:id="rIdFont11" w:fontKey="{F3E40320-7330-49B6-931A-DD5BBD6B13C9}"/>
  </w:font>
  <w:font w:name="Orbitron Medium">
    <w:charset w:val="00"/>
    <w:family w:val="auto"/>
    <w:pitch w:val="variable"/>
    <w:embedRegular r:id="rIdFont12" w:fontKey="{91789307-8A26-4977-9E2F-A83A62701A9A}"/>
  </w:font>
  <w:font w:name="Roboto Mono">
    <w:charset w:val="00"/>
    <w:family w:val="auto"/>
    <w:pitch w:val="variable"/>
    <w:embedRegular r:id="rIdFont13" w:fontKey="{2C3F1729-0186-42A7-9F26-4DE55D532D96}"/>
    <w:embedItalic r:id="rIdFont14" w:fontKey="{23A19F5A-EA31-4472-9059-E967CA18957C}"/>
    <w:embedBold r:id="rIdFont15" w:fontKey="{170E6FBD-F96F-4965-8C09-424F436B1516}"/>
  </w:font>
  <w:font w:name="Roboto Mono Medium">
    <w:charset w:val="00"/>
    <w:family w:val="auto"/>
    <w:pitch w:val="variable"/>
    <w:embedRegular r:id="rIdFont16" w:fontKey="{0A3F23DE-AC85-4643-BFFE-BB49535E439F}"/>
    <w:embedItalic r:id="rIdFont17" w:fontKey="{6BF7D74D-D309-4B33-B5B2-7B25D6CB4721}"/>
  </w:font>
  <w:font w:name="Roboto Mono SemiBold">
    <w:charset w:val="00"/>
    <w:family w:val="auto"/>
    <w:pitch w:val="variable"/>
    <w:embedRegular r:id="rIdFont18" w:fontKey="{A0A89377-D60E-4154-A265-9CE5F81A23DF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