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" w:after="80"/>
        <w:jc w:val="center"/>
      </w:pPr>
      <w:r>
        <w:rPr>
          <w:rFonts w:ascii="Calibri" w:hAnsi="Calibri"/>
          <w:b/>
          <w:i w:val="0"/>
          <w:color w:val="2B547E"/>
          <w:sz w:val="48"/>
        </w:rPr>
        <w:t>СТАНДАРДНА ОПЕРАТИВНА ПРОЦЕДУРА</w:t>
      </w:r>
    </w:p>
    <w:p>
      <w:pPr>
        <w:spacing w:before="120" w:after="80"/>
        <w:jc w:val="center"/>
      </w:pPr>
      <w:r>
        <w:rPr>
          <w:rFonts w:ascii="Calibri" w:hAnsi="Calibri"/>
          <w:b w:val="0"/>
          <w:i w:val="0"/>
          <w:color w:val="595959"/>
          <w:sz w:val="28"/>
        </w:rPr>
        <w:t>STANDARD OPERATING PROCEDURE</w:t>
      </w:r>
    </w:p>
    <w:p>
      <w:pPr>
        <w:spacing w:before="120" w:after="80"/>
        <w:jc w:val="center"/>
      </w:pPr>
      <w:r>
        <w:rPr>
          <w:rFonts w:ascii="Calibri" w:hAnsi="Calibri"/>
          <w:b/>
          <w:i w:val="0"/>
          <w:color w:val="2B547E"/>
          <w:sz w:val="36"/>
        </w:rPr>
        <w:t>QASOP_0XX · DRAFT</w:t>
      </w:r>
    </w:p>
    <w:p>
      <w:pPr>
        <w:spacing w:before="80" w:after="160"/>
        <w:jc w:val="center"/>
      </w:pPr>
      <w:r>
        <w:rPr>
          <w:rFonts w:ascii="Calibri" w:hAnsi="Calibri"/>
          <w:b/>
          <w:i w:val="0"/>
          <w:color w:val="000000"/>
          <w:sz w:val="24"/>
        </w:rPr>
        <w:t>Валидација на транспорт — квалификација на транспортни рути (OQ/PQ)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4"/>
        </w:rPr>
        <w:t>Transport Validation — Qualification of Transport Lanes (OQ/PQ)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10466"/>
      </w:tblGrid>
      <w:tr>
        <w:tc>
          <w:tcPr>
            <w:tcW w:type="dxa" w:w="10205"/>
            <w:shd w:val="clear" w:color="auto" w:fill="FDEDEC"/>
            <w:tcMar>
              <w:top w:w="46" w:type="dxa"/>
              <w:left w:w="86" w:type="dxa"/>
              <w:bottom w:w="46" w:type="dxa"/>
              <w:right w:w="86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0000"/>
                <w:sz w:val="24"/>
              </w:rPr>
              <w:t>РАБОТНА ВЕРЗИЈА — НЕ ЗА УПОТРЕБА | DRAFT — NOT FOR USE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</w:t>
            </w:r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 xml:space="preserve">     </w:t>
            </w: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важност | Effective date: —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16"/>
        <w:gridCol w:w="2616"/>
        <w:gridCol w:w="2616"/>
        <w:gridCol w:w="2616"/>
      </w:tblGrid>
      <w:tr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Action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Position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Name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Датум/Потпис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Date/Sign</w:t>
            </w:r>
          </w:p>
        </w:tc>
      </w:tr>
      <w:tr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Подготвил | Prepared by</w:t>
            </w:r>
          </w:p>
        </w:tc>
        <w:tc>
          <w:tcPr>
            <w:tcW w:type="dxa" w:w="2665"/>
          </w:tcPr>
          <w:p/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/>
                <w:color w:val="595959"/>
                <w:sz w:val="18"/>
              </w:rPr>
              <w:t>Во тек | Pending</w:t>
            </w:r>
          </w:p>
        </w:tc>
      </w:tr>
      <w:tr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Проверил | Reviewed by</w:t>
            </w:r>
          </w:p>
        </w:tc>
        <w:tc>
          <w:tcPr>
            <w:tcW w:type="dxa" w:w="2665"/>
          </w:tcPr>
          <w:p/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/>
                <w:color w:val="595959"/>
                <w:sz w:val="18"/>
              </w:rPr>
              <w:t>Во тек | Pending</w:t>
            </w:r>
          </w:p>
        </w:tc>
      </w:tr>
      <w:tr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 | Approved by</w:t>
            </w:r>
          </w:p>
        </w:tc>
        <w:tc>
          <w:tcPr>
            <w:tcW w:type="dxa" w:w="2665"/>
          </w:tcPr>
          <w:p/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S. Petrova</w:t>
            </w:r>
          </w:p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/>
                <w:color w:val="595959"/>
                <w:sz w:val="18"/>
              </w:rPr>
              <w:t>Во тек | Pending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i w:val="0"/>
          <w:color w:val="2B547E"/>
          <w:sz w:val="28"/>
        </w:rPr>
        <w:t>СОДРЖИНА | TABLE OF CONTENTS</w:t>
      </w:r>
    </w:p>
    <w:p>
      <w:r>
        <w:fldChar w:fldCharType="begin"/>
        <w:instrText xml:space="preserve"> TOC \o "1-3" \h \z \u </w:instrText>
        <w:fldChar w:fldCharType="separate"/>
      </w:r>
      <w:r>
        <w:t xml:space="preserve"> </w:t>
      </w:r>
      <w:r>
        <w:fldChar w:fldCharType="end"/>
      </w:r>
    </w:p>
    <w:p>
      <w:r>
        <w:rPr>
          <w:rFonts w:ascii="Calibri" w:hAnsi="Calibri"/>
          <w:b w:val="0"/>
          <w:i/>
          <w:color w:val="595959"/>
          <w:sz w:val="16"/>
        </w:rPr>
        <w:t>(TOC updates automatically on open; or right-click → Update Field)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rPr>
          <w:cantSplit/>
        </w:trP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1.0 ЦЕЛ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1.0 PURPOSE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Целта на оваа СОП е да ја пропише методологијата заснована на ризик со која се докажува и одржува дека секоја транспортна рута (лента) што ја користи Пјурли Плант за копнен транспорт на опојни дроги — комбинација на место на испраќање, место на прием, патека, возило, пакување и сезона — постојано ги одржува пропишаните услови на температура и влага и интегритетот на пратката, во најлоши реални услови.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The purpose of this SOP is to prescribe the risk-based methodology by which Purely Plant demonstrates and maintains that every transport lane it uses for inland transport of narcotic drugs — the combination of dispatch point, receipt point, route, vehicle, packaging and season — consistently maintains the prescribed temperature and humidity conditions and consignment integrity under worst-case real conditions.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Валидацијата е предуслов за употреба на рутата според WHSOP_003: ниту една рута не се користи за рутински транспорт без статус QUALIFIED во регистарот QASOP_0XX_A06.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is a precondition for using a lane under WHSOP_003: no lane is used for routine transport without QUALIFIED status in register QASOP_0XX_A06.</w:t>
            </w:r>
          </w:p>
        </w:tc>
      </w:tr>
      <w:tr>
        <w:trPr>
          <w:trHeight w:val="200" w:hRule="exact"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0"/>
            </w:pP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2.0 ПОДРАЧЈЕ НА ПРИМЕНА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2.0 SCOPE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2.1 Применливост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2.1 Applicability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Оваа СОП се применува на: (а) возилата на договорната обезбедувачка компанија (температурно контролиран товарен простор) што се користат за WHSOP_003; (б) транспортните контејнери и пасивните ладилници (квалифицирани пакувања); (в) рутите од локацијата Којлија 1043, Петровец, до сите домашни примачи според WHSOP_003; и (г) логерите за температура и влага што се користат за мапирање и рутинско следење.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This SOP applies to: (a) the vehicles of the contracted security company (temperature-controlled load space) used under WHSOP_003; (b) the transport containers and passive cool boxes (qualified packaging); (c) the lanes from the Kojlija 1043, Petrovec site to all domestic consignees under WHSOP_003; and (d) the temperature and humidity loggers used for mapping and routine monitoring.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2.2 Исклучоци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2.2 Exclusions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Не ги опфаќа: валидацијата на увозни и извозни (авио) рути според WHSOP_002 — која се изведува со истата методологија во посебен протокол; транспортот на мостри за контрола на квалитет до надворешни лаборатории, кој е предмет на PP-QC-SOP-025; квалификацијата на складишта и простории (QAS-03-003); и валидацијата на компјутерски системи за GPS/логери (QAS-03-002).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It does not cover: validation of import and export (air) lanes per WHSOP_002 — performed with the same methodology in a separate protocol; the transport of quality-control samples to external laboratories, which is the subject of PP-QC-SOP-025; qualification of warehouses and premises (QAS-03-003); and validation of GPS/logger computer systems (QAS-03-002).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2.3 Идно проширување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2.3 Future Scope Extension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Сопствени возила на Пјурли Плант, нови пакувања и рути преку граница се додаваат преку контрола на промени и ревизија на Планот за валидација (QASOP_0XX_A01).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Purely Plant's own vehicles, new packaging and cross-border lanes are added through change control and revision of the Validation Plan (QASOP_0XX_A01).</w:t>
            </w:r>
          </w:p>
        </w:tc>
      </w:tr>
      <w:tr>
        <w:trPr>
          <w:trHeight w:val="200" w:hRule="exact"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0"/>
            </w:pP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3.0 ОДГОВОРНОСТИ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3.0 RESPONSIBILITIES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Раководител на Сектор QA: го одобрува Планот за валидација, протоколите и извештаите; го води регистарот на рути (A06); ги одобрува отстапувањата и CAPA; доделува статус QUALIFIED.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QA Manager: approves the Validation Plan, protocols and reports; maintains the lane register (A06); approves deviations and CAPA; assigns QUALIFIED status.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Тим за валидација (QA, Логистика, Обезбедување, Техничко одржување, КК): ја изготвува процената на ризик, ги изведува OQ и PQ според одобрен протокол, ги евидентира необработените податоци и го изготвува извештајот.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team (QA, Logistics, Security, Technical Maintenance, QC): prepares the risk assessment, executes OQ and PQ per the approved protocol, records the raw data and prepares the report.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Техничко одржување: обезбедува калибрирани логери (сертификат за калибрација следлив до национални/меѓународни еталони, неодреденост ≤ ±0,5 °C и ≤ ±3 % RH), ги конфигурира и ги презема податоците.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Technical Maintenance: provides calibrated loggers (calibration certificate traceable to national/international standards, uncertainty ≤ ±0.5 °C and ≤ ±3 % RH), configures them and downloads the data.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Договорна обезбедувачка компанија: го става на располагање возилото и посадата за OQ/PQ, ја доставува техничката документација за климатизацијата и известува за секоја промена на возилото или опремата (Технички договор за квалитет).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Contracted security company: makes the vehicle and crew available for OQ/PQ, provides the technical documentation of the climate-control unit and notifies any change of vehicle or equipment (Technical Quality Agreement).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Квалификувано лице (QP): го одобрува извештајот за валидација на секоја рута пред првата рутинска употреба.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Qualified Person (QP): approves the validation report of each lane before its first routine use.</w:t>
            </w:r>
          </w:p>
        </w:tc>
      </w:tr>
      <w:tr>
        <w:trPr>
          <w:trHeight w:val="200" w:hRule="exact"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0"/>
            </w:pP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4.0 РЕФЕРЕНТНИ ДОКУМЕНТИ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4.0 REFERENCE DOCUMENTS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4.1 Регулаторна рамка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4.1 Regulatory framework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EudraLex Vol. 4, Annex 15 (Qualification and Validation, 2015): §1 (организација и планирање), §2 (документација), §3 (фази на квалификација), §4 (реквалификација), §6 (верификација на транспортот), §7 (валидација на пакувањето).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EudraLex Vol. 4, Annex 15 (Qualification and Validation, 2015): §1 (organising and planning), §2 (documentation), §3 (qualification stages), §4 (re-qualification), §6 (verification of transportation), §7 (validation of packaging).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Guidelines on Good Distribution Practice (2013/C 343/01), Chapter 9.2 (транспорт — одржување на условите), 9.3 (контејнери, пакување и означување) и 9.4 (производи со посебни услови).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Guidelines on Good Distribution Practice (2013/C 343/01), Chapter 9.2 (transportation — maintaining conditions), 9.3 (containers, packaging and labelling) and 9.4 (products requiring special conditions).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WHO TRS No. 961 (2011), Annex 9, и техничките додатоци (WHO TRS No. 992, 2015, Annex 5): Supplement 7 (Qualification of temperature-controlled road vehicles), Supplement 8 (Temperature mapping of storage areas), Supplement 12 (Temperature and humidity monitoring systems for transport operations), Supplement 13 (Qualification of shipping containers), Supplement 14 (Transport route profiling qualification).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WHO TRS No. 961 (2011), Annex 9, и техничките додатоци (WHO TRS No. 992, 2015, Annex 5): Supplement 7 (Qualification of temperature-controlled road vehicles), Supplement 8 (Temperature mapping of storage areas), Supplement 12 (Temperature and humidity monitoring systems for transport operations), Supplement 13 (Qualification of shipping containers), Supplement 14 (Transport route profiling qualification).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ICH Q9(R1) Quality Risk Management (2023); ICH Q10 Pharmaceutical Quality System (2008); USP ⟨1079.2⟩ Mean Kinetic Temperature; Ph. Eur. Монографија 3028 (Cannabis flos).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ICH Q9(R1) Quality Risk Management (2023); ICH Q10 Pharmaceutical Quality System (2008); USP ⟨1079.2⟩ Mean Kinetic Temperature; Ph. Eur. Monograph 3028 (Cannabis flos).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4.2 Внатрешни документи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4.2 Internal documents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Validation Master Plan (QAS-02.00); QAS-03-001 Квалификација на опрема; QAS-04-001 Управување со ризик; QAS-08-001 Контрола на промени; WHSOP_003.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Master Plan (QAS-02.00); QAS-03-001 Equipment Qualification; QAS-04-001 Risk Management; QAS-08-001 Change Control; WHSOP_003.</w:t>
            </w:r>
          </w:p>
        </w:tc>
      </w:tr>
      <w:tr>
        <w:trPr>
          <w:trHeight w:val="200" w:hRule="exact"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0"/>
            </w:pP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5.0 ДЕФИНИЦИИ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5.0 DEFINITIONS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5.1 Дефиниции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5.1 Definitions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Рута (лента) — дефинирана комбинација на место на испраќање, место на прием, патека, возило или пакување и сезона, која се квалификува како целина; код Lnn (на пр. L01).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Lane — a defined combination of dispatch point, receipt point, route, vehicle or packaging and season, qualified as a whole; code Lnn (e.g. L01).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Оперативна квалификација (OQ) — документиран доказ дека возилото / пакувањето ги одржува условите во целиот товарен простор во празна и полна состојба, при екстремни сезонски услови и при предизвикани нарушувања (отворање врата, прекин на напојување).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Operational qualification (OQ) — documented evidence that the vehicle / packaging maintains the conditions throughout the load space when empty and loaded, under seasonal extremes and under induced disturbances (door opening, power interruption).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Квалификација на перформанси (PQ) — документиран доказ, преку три последователни реални или симулирани пратки по рутата, дека условите се одржуваат во рутинска употреба.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Performance qualification (PQ) — documented evidence, through three consecutive real or simulated shipments on the lane, that conditions are maintained in routine use.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Температурно мапирање — истовремено мерење на температура (и влага) на дефинирани точки во товарниот простор за да се утврдат жешките и студените точки.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Temperature mapping — simultaneous measurement of temperature (and humidity) at defined points in the load space to identify the hot and cold spots.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Време на задржување (hold time) — времето од губење на активната контрола (исклучена климатизација) до првото излегување на која било точка надвор од опсегот.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Hold time — the time from loss of active control (climate control off) to the first point leaving the range.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Средна кинетичка температура (MKT) — единечна изотермна температура која предизвикува иста хемиска деградација како измерениот променлив профил (ΔH/R = 10 000 K).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Mean kinetic temperature (MKT) — the single isothermal temperature that causes the same chemical degradation as the measured variable profile (ΔH/R = 10 000 K).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5.2 Кратенки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5.2 Abbreviations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OQ; PQ; RA; VP — план за валидација; MKT; RH; GDP; GMP; QA; QP; CAPA; SOP.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OQ; PQ; RA; VP — validation plan; MKT; RH; GDP; GMP; QA; QP; CAPA; SOP.</w:t>
            </w:r>
          </w:p>
        </w:tc>
      </w:tr>
      <w:tr>
        <w:trPr>
          <w:trHeight w:val="200" w:hRule="exact"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0"/>
            </w:pP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6.0 ПОСТАПКА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60" w:after="60"/>
            </w:pPr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6.0 PROCEDURE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6.1 Животен циклус на валидацијата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6.1 Validation lifecycle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Валидацијата на секоја рута се изведува по редослед, без прескокнување фаза: (1) процена на ризик и План за валидација (A01) → (2) одобрен Протокол (A02) со однапред дефинирани критериуми → (3) OQ мапирање на возилото/пакувањето (A03) → (4) PQ — три пратки (A04) → (5) Извештај (A05) и одобрение од QA и QP → (6) внес во регистарот со статус QUALIFIED (A06) → (7) рутинско следење и периодична реквалификација. Следната фаза започнува само по писмено одобрение на претходната од QA.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of each lane follows this order, without skipping a stage: (1) risk assessment and Validation Plan (A01) → (2) approved Protocol (A02) with pre-defined criteria → (3) OQ mapping of the vehicle/packaging (A03) → (4) PQ — three shipments (A04) → (5) Report (A05) and QA and QP approval → (6) entry in the register with QUALIFIED status (A06) → (7) routine monitoring and periodic requalification. The next stage starts only after written QA approval of the previous one.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6.2 Процена на ризик и план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6.2 Risk assessment and plan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6.2.1 За секоја рута тимот ги евидентира во A01: растојание и максимално времетраење (вклучително сообраќајни застои), сезонски екстреми на амбиентот (историски податоци за Скопје), вид на материјал и неговиот опсег, возило/пакување, точки на ракување и безбедносни ризици. Ризиците се оценуваат со FMEA (веројатност × последица × откривање) според QAS-04-001.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6.2.1 For each lane the team records in A01: distance and maximum duration (including traffic delays), seasonal ambient extremes (historical data for Skopje), material type and its range, vehicle/packaging, handling points and security risks. Risks are rated by FMEA (likelihood × severity × detectability) per QAS-04-001.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6.2.2 Групирање (bracketing): рутите со исто возило/пакување и времетраење до најдолгата квалификувана рута може да се покријат со квалификацијата на најдолгата („најлош случај“), ако A01 го образложи и QA го одобри.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6.2.2 Bracketing: lanes using the same vehicle/packaging with a duration up to that of the longest qualified lane may be covered by the qualification of the longest ("worst case") lane, where A01 justifies it and QA approves.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6.3 Протокол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6.3 Protocol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Протоколот (A02) ги дефинира однапред: предметот, опсезите, бројот и позициите на логерите, интервалот на мерење, тестовите, критериумите за прифаќање, постапката при отстапување и потребните потписи. Протоколот се одобрува од QA пред почетокот на OQ; необработените податоци се внесуваат директно во обрасците за извршување (A03, A04).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The protocol (A02) pre-defines: the object, ranges, number and positions of loggers, logging interval, tests, acceptance criteria, deviation handling and required signatures. The protocol is approved by QA before OQ starts; raw data are entered directly into the execution forms (A03, A04).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6.4 OQ — температурно мапирање на возилото/пакувањето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6.4 OQ — temperature mapping of the vehicle/packaging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6.4.1 Логери: најмалку 9 во товарниот простор (8 агли — горе/долу, напред/назад, лево/десно — и геометрискиот центар), 1 кај вратата, 1 на излезот на климатизацијата и 1 надвор (амбиент); интервал 1 мин; калибрирани пред и проверени по мапирањето. За пасивно пакување: 5 логери (центар и 4 агли на товарот) и 1 надвор.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6.4.1 Loggers: at least 9 in the load space (8 corners — top/bottom, front/rear, left/right — and the geometric centre), 1 at the door, 1 at the climate-control outlet and 1 outside (ambient); interval 1 min; calibrated before and checked after mapping. For passive packaging: 5 loggers (centre and 4 corners of the load) and 1 outside.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6.4.2 Тестови: (а) празно возило — стабилизација и време до опсег по вклучување; (б) полно возило со претставителен товар (максимална конфигурација) — времетраење ≥ 125 % од најдолгото очекувано патување; (в) тест со отворање на врата: 2 × 5 мин (симулација на прием/предавање); (г) тест со прекин на напојување — мерење на времето на задржување; (д) сезонско мапирање: летно (амбиент ≥ 30 °C) и зимско (амбиент ≤ 0 °C).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6.4.2 Tests: (a) empty vehicle — stabilisation and time to range after start; (b) loaded vehicle with a representative load (maximum configuration) — duration ≥ 125 % of the longest expected journey; (c) door-opening test: 2 × 5 min (simulating receipt/hand-over); (d) power-interruption test — measurement of hold time; (e) seasonal mapping: summer (ambient ≥ 30 °C) and winter (ambient ≤ 0 °C).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6.4.3 Критериуми за прифаќање: сите логери во товарниот простор во опсегот во текот на целиот тест (по стабилизацијата); враќање во опсег во рок ≤ 15 мин по секое отворање на врата; време на задржување ≥ максималното предвидено време на прекин од A01 (најмалку 60 мин); MKT во опсегот; жешката и студената точка се идентификувани и документирани за поставување на рутинскиот логер.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6.4.3 Acceptance criteria: all load-space loggers within range throughout the test (after stabilisation); return to range within ≤ 15 min after each door opening; hold time ≥ the maximum foreseen interruption from A01 (at least 60 min); MKT within range; hot and cold spots identified and documented for placing the routine logger.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6.5 PQ — три последователни пратки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6.5 PQ — three consecutive shipments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6.5.1 PQ се изведува по завршена и одобрена OQ, со три последователни пратки по рутата, со реален производ или симулиран товар со иста термичка маса и конфигурација, со рутинскиот логер поставен на жешката/студената точка од OQ и најмалку 2 дополнителни логери. Барем една пратка мора да падне во сезоната на најлош случај за опсегот (лето за 15–25 °C).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6.5.1 PQ is performed after OQ is completed and approved, with three consecutive shipments on the lane, with real product or a simulated load of the same thermal mass and configuration, with the routine logger at the OQ hot/cold spot and at least 2 additional loggers. At least one shipment must fall in the worst-case season for the range (summer for 15–25 °C).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6.5.2 Секоја PQ пратка се изведува целосно според WHSOP_003 (известувања, пломби, ланец на надзор) и се евидентира во A04. Критериуми: сите логери во опсег во текот на целото патување; пломбите цели; времетраењето ≤ квалификуваното; ланецот на надзор комплетен; пакувањето без оштетување.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6.5.2 Each PQ shipment is performed in full per WHSOP_003 (notifications, seals, chain of custody) and recorded in A04. Criteria: all loggers within range throughout the journey; seals intact; duration ≤ the qualified duration; chain of custody complete; packaging undamaged.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6.6 Пресметки и проценка на податоците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6.6 Calculations and data evaluation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Од податоците на секој логер се пресметуваат: мин., макс., средна вредност, стандардна девијација, кумулативно време надвор од опсег и MKT. MKT се пресметува со формулата во A02/A05 (ΔH/R = 10 000 K; температурите во келвини). Пресметките се прикажуваат во извештајот како решени чекори (формула → вредности → резултат) и се проверуваат од второ лице.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From each logger's data the following are calculated: min., max., mean, standard deviation, cumulative time out of range and MKT. The MKT is calculated with the formula in A02/A05 (ΔH/R = 10 000 K; temperatures in kelvin). Calculations are shown in the report as worked steps (formula → values → result) and verified by a second person.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6.7 Извештај и статус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6.7 Report and status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Извештајот (A05) ги сумира сите резултати наспроти критериумите, сите отстапувања и нивното решавање и препорака за статус. По одобрение од QA и QP, рутата се внесува во A06 како QUALIFIED со датум на важност; ограничувањата (сезона, максимално времетраење, максимален товар, позиција на логерот) се наведуваат и се пренесуваат во TRA на WHSOP_003.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The report (A05) summarises all results against the criteria, all deviations and their resolution, and a status recommendation. After QA and QP approval, the lane is entered in A06 as QUALIFIED with a validity date; limitations (season, maximum duration, maximum load, logger position) are stated and carried into the WHSOP_003 TRA.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6.8 Отстапувања при валидацијата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6.8 Deviations during validation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Резултат надвор од критериумите се проверува (дефект на логер, грешка во поставувањето); ако се потврди, се отвора отстапување (QAS-05-002), се утврдува коренската причина и, по корекцијата, засегнатиот тест се повторува во целост. Резултат не се отфрла без документирано образложение одобрено од QA.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A result outside the criteria is checked (logger failure, placement error); if confirmed, a deviation is opened (QAS-05-002), the root cause is established and, after correction, the affected test is repeated in full. No result is discarded without a documented justification approved by QA.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6.9 Рутинско следење и реквалификација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6.9 Routine monitoring and requalification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6.9.1 Секоја рутинска пратка се следи со логер (WHSOP_003); QA квартално ги трендира податоците по рута (мин., макс., MKT, екскурзии) во A06.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6.9.1 Every routine shipment is monitored with a logger (WHSOP_003); QA trends the data per lane quarterly (min., max., MKT, excursions) in A06.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6.9.2 Реквалификација: годишно (сезонско PQ — една летна и една зимска пратка) и вонредно при: промена на возилото, климатизацијата или пакувањето; промена на рутата или максималното времетраење; промена на превозникот; потврдена екскурзија со непозната причина; негативен тренд. Обемот (целосна OQ+PQ или само PQ) го одредува QA со процена на ризик преку контрола на промени.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6.9.2 Requalification: annually (seasonal PQ — one summer and one winter shipment) and additionally upon: change of vehicle, climate-control unit or packaging; change of route or maximum duration; change of carrier; a confirmed excursion of unknown cause; an adverse trend. The scope (full OQ+PQ or PQ only) is set by QA through risk assessment under change control.</w:t>
            </w:r>
          </w:p>
        </w:tc>
      </w:tr>
      <w:tr>
        <w:trPr>
          <w:cantSplit/>
        </w:trP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6.10 Обука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keepNext/>
              <w:spacing w:before="120" w:after="40"/>
            </w:pPr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6.10 Training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Членовите на тимот за валидација се обучуваат за оваа СОП, за ракување со логери и за WHSOP_003 пред учеството; обуката се евидентира (HR-01-006).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team members are trained on this SOP, logger handling and WHSOP_003 before taking part; training is recorded (HR-01-006).</w:t>
            </w:r>
          </w:p>
        </w:tc>
      </w:tr>
    </w:tbl>
    <w:p>
      <w:pPr>
        <w:keepNext/>
        <w:spacing w:before="0" w:after="0" w:lineRule="exact" w:line="200"/>
      </w:pPr>
    </w:p>
    <w:p>
      <w:pPr>
        <w:pStyle w:val="Heading1"/>
        <w:keepNext/>
        <w:tabs>
          <w:tab w:pos="5233" w:val="left"/>
        </w:tabs>
        <w:spacing w:before="60" w:after="60"/>
        <w:ind w:left="130" w:right="130"/>
        <w:shd w:val="clear" w:color="auto" w:fill="E8E8E8"/>
      </w:pPr>
      <w:r>
        <w:rPr>
          <w:rFonts w:ascii="Calibri" w:hAnsi="Calibri"/>
          <w:b/>
          <w:i w:val="0"/>
          <w:color w:val="000000"/>
          <w:sz w:val="24"/>
        </w:rPr>
        <w:t>7.0 ЗАПИСИ</w:t>
      </w:r>
      <w:r>
        <w:rPr>
          <w:rFonts w:ascii="Calibri" w:hAnsi="Calibri"/>
          <w:b w:val="0"/>
          <w:i w:val="0"/>
          <w:color w:val="000000"/>
          <w:sz w:val="24"/>
        </w:rPr>
        <w:tab/>
      </w:r>
      <w:r>
        <w:rPr>
          <w:rFonts w:ascii="Calibri" w:hAnsi="Calibri"/>
          <w:b/>
          <w:i w:val="0"/>
          <w:color w:val="595959"/>
          <w:sz w:val="24"/>
        </w:rPr>
        <w:t>7.0 RECORDS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type="dxa" w:w="10466"/>
        <w:tblInd w:type="dxa" w:w="0"/>
        <w:jc w:val="center"/>
      </w:tblPr>
      <w:tblGrid>
        <w:gridCol w:w="3110"/>
        <w:gridCol w:w="7356"/>
      </w:tblGrid>
      <w:tr>
        <w:trPr>
          <w:cantSplit/>
          <w:tblHeader w:val="true"/>
        </w:trPr>
        <w:tc>
          <w:tcPr>
            <w:shd w:val="clear" w:color="auto" w:fill="D9E2F3"/>
            <w:tcW w:type="dxa" w:w="311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Code</w:t>
            </w:r>
          </w:p>
        </w:tc>
        <w:tc>
          <w:tcPr>
            <w:shd w:val="clear" w:color="auto" w:fill="D9E2F3"/>
            <w:tcW w:type="dxa" w:w="7356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Наслов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Title</w:t>
            </w:r>
          </w:p>
        </w:tc>
      </w:tr>
      <w:tr>
        <w:trPr>
          <w:cantSplit/>
        </w:trPr>
        <w:tc>
          <w:tcPr>
            <w:tcW w:type="dxa" w:w="311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356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План за валидација и процена на ризик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Lane Validation Plan and Risk Assessment</w:t>
            </w:r>
          </w:p>
        </w:tc>
      </w:tr>
      <w:tr>
        <w:trPr>
          <w:cantSplit/>
        </w:trPr>
        <w:tc>
          <w:tcPr>
            <w:tcW w:type="dxa" w:w="311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356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Протокол за валидација на транспорт (OQ/PQ)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Transport Validation Protocol (OQ/PQ)</w:t>
            </w:r>
          </w:p>
        </w:tc>
      </w:tr>
      <w:tr>
        <w:trPr>
          <w:cantSplit/>
        </w:trPr>
        <w:tc>
          <w:tcPr>
            <w:tcW w:type="dxa" w:w="311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356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Запис за извршување на OQ — температурно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OQ Execution Record — Temperature Mapping</w:t>
            </w:r>
          </w:p>
        </w:tc>
      </w:tr>
      <w:tr>
        <w:trPr>
          <w:cantSplit/>
        </w:trPr>
        <w:tc>
          <w:tcPr>
            <w:tcW w:type="dxa" w:w="311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356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Запис за извршување на 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PQ Shipment Execution Record</w:t>
            </w:r>
          </w:p>
        </w:tc>
      </w:tr>
      <w:tr>
        <w:trPr>
          <w:cantSplit/>
        </w:trPr>
        <w:tc>
          <w:tcPr>
            <w:tcW w:type="dxa" w:w="311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QASOP_0XX_A05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356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Извештај за валидација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Transport Validation Report</w:t>
            </w:r>
          </w:p>
        </w:tc>
      </w:tr>
      <w:tr>
        <w:trPr>
          <w:cantSplit/>
        </w:trPr>
        <w:tc>
          <w:tcPr>
            <w:tcW w:type="dxa" w:w="311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QASOP_0XX_A06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35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Регистар на квалификувани рути и тренд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Qualified Lane Register and Trend</w:t>
            </w:r>
          </w:p>
        </w:tc>
      </w:tr>
    </w:tbl>
    <w:p>
      <w:pPr>
        <w:keepNext/>
        <w:spacing w:before="0" w:after="0" w:lineRule="exact" w:line="200"/>
      </w:pPr>
    </w:p>
    <w:p>
      <w:pPr>
        <w:pStyle w:val="Heading1"/>
        <w:keepNext/>
        <w:tabs>
          <w:tab w:pos="5233" w:val="left"/>
        </w:tabs>
        <w:spacing w:before="60" w:after="60"/>
        <w:ind w:left="130" w:right="130"/>
        <w:shd w:val="clear" w:color="auto" w:fill="E8E8E8"/>
      </w:pPr>
      <w:r>
        <w:rPr>
          <w:rFonts w:ascii="Calibri" w:hAnsi="Calibri"/>
          <w:b/>
          <w:i w:val="0"/>
          <w:color w:val="000000"/>
          <w:sz w:val="24"/>
        </w:rPr>
        <w:t>8.0 ПОВРЗАНИ ДОКУМЕНТИ</w:t>
      </w:r>
      <w:r>
        <w:rPr>
          <w:rFonts w:ascii="Calibri" w:hAnsi="Calibri"/>
          <w:b w:val="0"/>
          <w:i w:val="0"/>
          <w:color w:val="000000"/>
          <w:sz w:val="24"/>
        </w:rPr>
        <w:tab/>
      </w:r>
      <w:r>
        <w:rPr>
          <w:rFonts w:ascii="Calibri" w:hAnsi="Calibri"/>
          <w:b/>
          <w:i w:val="0"/>
          <w:color w:val="595959"/>
          <w:sz w:val="24"/>
        </w:rPr>
        <w:t>8.0 RELATED DOCUMENTS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type="dxa" w:w="10466"/>
        <w:tblInd w:type="dxa" w:w="0"/>
        <w:jc w:val="center"/>
      </w:tblPr>
      <w:tblGrid>
        <w:gridCol w:w="2658"/>
        <w:gridCol w:w="7808"/>
      </w:tblGrid>
      <w:tr>
        <w:trPr>
          <w:cantSplit/>
          <w:tblHeader w:val="true"/>
        </w:trPr>
        <w:tc>
          <w:tcPr>
            <w:shd w:val="clear" w:color="auto" w:fill="D9E2F3"/>
            <w:tcW w:type="dxa" w:w="265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Code</w:t>
            </w:r>
          </w:p>
        </w:tc>
        <w:tc>
          <w:tcPr>
            <w:shd w:val="clear" w:color="auto" w:fill="D9E2F3"/>
            <w:tcW w:type="dxa" w:w="780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Наслов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Title</w:t>
            </w:r>
          </w:p>
        </w:tc>
      </w:tr>
      <w:tr>
        <w:trPr>
          <w:cantSplit/>
        </w:trPr>
        <w:tc>
          <w:tcPr>
            <w:tcW w:type="dxa" w:w="265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WHSOP_003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80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Внатрешен транспорт на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Inland Transport of Narcotic Drugs</w:t>
            </w:r>
          </w:p>
        </w:tc>
      </w:tr>
      <w:tr>
        <w:trPr>
          <w:cantSplit/>
        </w:trPr>
        <w:tc>
          <w:tcPr>
            <w:tcW w:type="dxa" w:w="265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WHSOP_002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80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Транспорт, увоз, извоз и дистрибуција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Transport, Import, Export and Distribution</w:t>
            </w:r>
          </w:p>
        </w:tc>
      </w:tr>
      <w:tr>
        <w:trPr>
          <w:cantSplit/>
        </w:trPr>
        <w:tc>
          <w:tcPr>
            <w:tcW w:type="dxa" w:w="265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QAS-02.00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8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Validation Master Plan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265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QAS-03-001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8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Квалификација на опрема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Equipment Qualification</w:t>
            </w:r>
          </w:p>
        </w:tc>
      </w:tr>
      <w:tr>
        <w:trPr>
          <w:cantSplit/>
        </w:trPr>
        <w:tc>
          <w:tcPr>
            <w:tcW w:type="dxa" w:w="265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QAS-04-001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8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Управување со ризик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Risk Management</w:t>
            </w:r>
          </w:p>
        </w:tc>
      </w:tr>
      <w:tr>
        <w:trPr>
          <w:cantSplit/>
        </w:trPr>
        <w:tc>
          <w:tcPr>
            <w:tcW w:type="dxa" w:w="265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QAS-05-002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8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Отстапувања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Deviations</w:t>
            </w:r>
          </w:p>
        </w:tc>
      </w:tr>
      <w:tr>
        <w:trPr>
          <w:cantSplit/>
        </w:trPr>
        <w:tc>
          <w:tcPr>
            <w:tcW w:type="dxa" w:w="265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QAS-08-001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8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Контрола на промени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Change Control</w:t>
            </w:r>
          </w:p>
        </w:tc>
      </w:tr>
      <w:tr>
        <w:trPr>
          <w:cantSplit/>
        </w:trPr>
        <w:tc>
          <w:tcPr>
            <w:tcW w:type="dxa" w:w="265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EQU-02-001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78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Одржување и калибрација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Maintenance and Calibration</w:t>
            </w:r>
          </w:p>
        </w:tc>
      </w:tr>
    </w:tbl>
    <w:p>
      <w:pPr>
        <w:keepNext/>
        <w:spacing w:before="0" w:after="0" w:lineRule="exact" w:line="200"/>
      </w:pPr>
    </w:p>
    <w:p>
      <w:pPr>
        <w:pStyle w:val="Heading1"/>
        <w:keepNext/>
        <w:tabs>
          <w:tab w:pos="5233" w:val="left"/>
        </w:tabs>
        <w:spacing w:before="60" w:after="60"/>
        <w:ind w:left="130" w:right="130"/>
        <w:shd w:val="clear" w:color="auto" w:fill="E8E8E8"/>
      </w:pPr>
      <w:r>
        <w:rPr>
          <w:rFonts w:ascii="Calibri" w:hAnsi="Calibri"/>
          <w:b/>
          <w:i w:val="0"/>
          <w:color w:val="000000"/>
          <w:sz w:val="24"/>
        </w:rPr>
        <w:t>9.0 РЕВИЗИЈА</w:t>
      </w:r>
      <w:r>
        <w:rPr>
          <w:rFonts w:ascii="Calibri" w:hAnsi="Calibri"/>
          <w:b w:val="0"/>
          <w:i w:val="0"/>
          <w:color w:val="000000"/>
          <w:sz w:val="24"/>
        </w:rPr>
        <w:tab/>
      </w:r>
      <w:r>
        <w:rPr>
          <w:rFonts w:ascii="Calibri" w:hAnsi="Calibri"/>
          <w:b/>
          <w:i w:val="0"/>
          <w:color w:val="595959"/>
          <w:sz w:val="24"/>
        </w:rPr>
        <w:t>9.0 REVISION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type="dxa" w:w="10466"/>
        <w:tblInd w:type="dxa" w:w="0"/>
        <w:jc w:val="center"/>
      </w:tblPr>
      <w:tblGrid>
        <w:gridCol w:w="2974"/>
        <w:gridCol w:w="1474"/>
        <w:gridCol w:w="6017"/>
      </w:tblGrid>
      <w:tr>
        <w:trPr>
          <w:cantSplit/>
          <w:tblHeader w:val="true"/>
        </w:trPr>
        <w:tc>
          <w:tcPr>
            <w:shd w:val="clear" w:color="auto" w:fill="D9E2F3"/>
            <w:tcW w:type="dxa" w:w="29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Верзија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Version</w:t>
            </w:r>
          </w:p>
        </w:tc>
        <w:tc>
          <w:tcPr>
            <w:shd w:val="clear" w:color="auto" w:fill="D9E2F3"/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Date</w:t>
            </w:r>
          </w:p>
        </w:tc>
        <w:tc>
          <w:tcPr>
            <w:shd w:val="clear" w:color="auto" w:fill="D9E2F3"/>
            <w:tcW w:type="dxa" w:w="601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Опис на измени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Description of changes</w:t>
            </w:r>
          </w:p>
        </w:tc>
      </w:tr>
      <w:tr>
        <w:trPr>
          <w:cantSplit/>
        </w:trPr>
        <w:tc>
          <w:tcPr>
            <w:tcW w:type="dxa" w:w="297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6017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Нова СОП.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New SOP.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Валидација на транспорт — квалификација на транспортни рути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— Qualification of Transport Lanes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QASOP_0XX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