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800" w:after="40"/>
        <w:jc w:val="center"/>
      </w:pPr>
      <w:r>
        <w:rPr>
          <w:rFonts w:ascii="Calibri" w:hAnsi="Calibri"/>
          <w:b/>
          <w:i w:val="0"/>
          <w:color w:val="595959"/>
          <w:sz w:val="26"/>
        </w:rPr>
        <w:t>ПРОТОКОЛ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2"/>
        </w:rPr>
        <w:t>PROTOCOL</w:t>
      </w:r>
    </w:p>
    <w:p>
      <w:pPr>
        <w:spacing w:before="200" w:after="40"/>
        <w:jc w:val="center"/>
      </w:pPr>
      <w:r>
        <w:rPr>
          <w:rFonts w:ascii="Calibri" w:hAnsi="Calibri"/>
          <w:b/>
          <w:i w:val="0"/>
          <w:color w:val="2B547E"/>
          <w:sz w:val="44"/>
        </w:rPr>
        <w:t>Протокол за валидација на транспорт (OQ/PQ)</w:t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2B547E"/>
          <w:sz w:val="26"/>
        </w:rPr>
        <w:t>Transport Validation Protocol (OQ/PQ)</w:t>
      </w:r>
    </w:p>
    <w:p>
      <w:pPr>
        <w:spacing w:before="80" w:after="320"/>
        <w:jc w:val="center"/>
      </w:pPr>
      <w:r>
        <w:rPr>
          <w:rFonts w:ascii="Calibri" w:hAnsi="Calibri"/>
          <w:b/>
          <w:i w:val="0"/>
          <w:color w:val="595959"/>
          <w:sz w:val="24"/>
        </w:rPr>
        <w:t>Квалификација на транспортна рута</w:t>
      </w:r>
      <w:r>
        <w:rPr>
          <w:rFonts w:ascii="Calibri" w:hAnsi="Calibri"/>
          <w:b w:val="0"/>
          <w:i w:val="0"/>
          <w:color w:val="595959"/>
          <w:sz w:val="20"/>
        </w:rPr>
        <w:t xml:space="preserve">  |  </w:t>
      </w:r>
      <w:r>
        <w:rPr>
          <w:rFonts w:ascii="Calibri" w:hAnsi="Calibri"/>
          <w:b w:val="0"/>
          <w:i/>
          <w:color w:val="595959"/>
          <w:sz w:val="20"/>
        </w:rPr>
        <w:t>Transport lane qualification</w:t>
      </w:r>
    </w:p>
    <w:tbl>
      <w:tblPr>
        <w:tblLook w:firstColumn="1" w:firstRow="1" w:lastColumn="0" w:lastRow="0" w:noHBand="0" w:noVBand="1" w:val="04A0"/>
        <w:tblLayout w:type="fixed"/>
        <w:tblW w:type="dxa" w:w="1474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474"/>
      </w:tblGrid>
      <w:tr>
        <w:trPr>
          <w:tblHeader w:val="true"/>
        </w:trPr>
        <w:tc>
          <w:tcPr>
            <w:shd w:val="clear" w:color="auto" w:fill="FCE4D6"/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C00000"/>
                <w:sz w:val="22"/>
              </w:rPr>
              <w:t>РАБОТНА ВЕРЗИЈА — НЕ ЗА УПОТРЕБА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C00000"/>
                <w:sz w:val="18"/>
              </w:rPr>
              <w:t>DRAFT — NOT FOR USE</w:t>
            </w:r>
          </w:p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000000"/>
                <w:sz w:val="20"/>
              </w:rPr>
              <w:t>Верзија | Version: DRAFT     ·     Датум на важност | Effective date: —</w:t>
            </w:r>
          </w:p>
        </w:tc>
      </w:tr>
    </w:tbl>
    <w:p/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Информации за документот | Document information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3175"/>
        <w:gridCol w:w="7291"/>
      </w:tblGrid>
      <w:tr>
        <w:trPr>
          <w:tblHeader w:val="true"/>
        </w:trP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Код на рутата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Lane code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L__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Место на испраќање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Dispatch point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Којлија 1043, Петровец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Kojlija 1043, Petrovec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Место на прием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Receipt point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Возило / пакување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Vehicle / packaging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Опсег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Range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План за валидација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Validation plan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QASOP_0XX_A01 — ______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Поврзана СОП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Governing SOP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QASOP_0XX; WHSOP_003</w:t>
            </w:r>
          </w:p>
        </w:tc>
      </w:tr>
      <w:tr>
        <w:tc>
          <w:tcPr>
            <w:shd w:val="clear" w:color="auto" w:fill="F2F2F2"/>
            <w:vAlign w:val="center"/>
            <w:tcW w:type="dxa" w:w="317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20"/>
              </w:rPr>
              <w:t>Број на протокол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6"/>
              </w:rPr>
              <w:t>Protocol No.</w:t>
            </w:r>
          </w:p>
        </w:tc>
        <w:tc>
          <w:tcPr>
            <w:vAlign w:val="center"/>
            <w:tcW w:type="dxa" w:w="729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TVP-___-__</w:t>
            </w:r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Одобрување | Approval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835"/>
        <w:gridCol w:w="3095"/>
        <w:gridCol w:w="1984"/>
        <w:gridCol w:w="2551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Име/Позиција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Name/Position</w:t>
            </w:r>
          </w:p>
        </w:tc>
        <w:tc>
          <w:tcPr>
            <w:shd w:val="clear" w:color="auto" w:fill="2B547E"/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6"/>
              </w:rPr>
              <w:t>Signature</w:t>
            </w:r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Изготвил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Prepared (тим за валидација | validation team)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Прегледал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Reviewed (Логистика / Обезбедување | Logistics / Security)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  <w:tr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20"/>
              </w:rPr>
              <w:t>Одобрил</w:t>
            </w:r>
            <w:r>
              <w:rPr>
                <w:rFonts w:ascii="Calibri" w:hAnsi="Calibri"/>
                <w:b w:val="0"/>
                <w:i w:val="0"/>
                <w:color w:val="000000"/>
                <w:sz w:val="16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6"/>
              </w:rPr>
              <w:t>Approved (QA)</w:t>
            </w:r>
          </w:p>
        </w:tc>
        <w:tc>
          <w:tcPr>
            <w:vAlign w:val="center"/>
            <w:tcW w:type="dxa" w:w="309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98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spacing w:before="200" w:after="0"/>
        <w:jc w:val="center"/>
      </w:pPr>
      <w:r>
        <w:rPr>
          <w:rFonts w:ascii="Calibri" w:hAnsi="Calibri"/>
          <w:b w:val="0"/>
          <w:i/>
          <w:color w:val="595959"/>
          <w:sz w:val="16"/>
        </w:rPr>
        <w:t>Контролиран документ | Controlled document</w:t>
      </w:r>
    </w:p>
    <w:p>
      <w:r>
        <w:br w:type="page"/>
      </w:r>
    </w:p>
    <w:p>
      <w:pPr>
        <w:spacing w:before="120" w:after="160"/>
      </w:pPr>
      <w:r>
        <w:rPr>
          <w:rFonts w:ascii="Calibri" w:hAnsi="Calibri"/>
          <w:b/>
          <w:i w:val="0"/>
          <w:color w:val="2B547E"/>
          <w:sz w:val="32"/>
        </w:rPr>
        <w:t>СОДРЖИНА</w:t>
      </w:r>
      <w:r>
        <w:rPr>
          <w:rFonts w:ascii="Calibri" w:hAnsi="Calibri"/>
          <w:b w:val="0"/>
          <w:i w:val="0"/>
          <w:color w:val="595959"/>
          <w:sz w:val="24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Table of Contents</w:t>
      </w:r>
    </w:p>
    <w:p>
      <w:r>
        <w:fldChar w:fldCharType="begin"/>
        <w:instrText xml:space="preserve"> TOC \o "1-3" \h \z \u </w:instrText>
        <w:fldChar w:fldCharType="separate"/>
      </w:r>
      <w:r>
        <w:rPr>
          <w:i/>
          <w:color w:val="595959"/>
          <w:sz w:val="18"/>
        </w:rPr>
        <w:t>Десен-клик → Ажурирај поле (Update Field) | Right-click → Update Field</w:t>
      </w:r>
      <w:r>
        <w:fldChar w:fldCharType="end"/>
      </w:r>
    </w:p>
    <w:p>
      <w:r>
        <w:br w:type="page"/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1.  ЦЕЛ И ОПСЕГ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Purpose and Scope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Овој протокол ги дефинира однапред тестовите, позициите на логерите, пресметките и критериумите за прифаќање со кои се квалификува наведената рута според QASOP_0XX. Протоколот мора да биде одобрен од QA пред почетокот на OQ; ниту еден критериум не се менува по почетокот на извршувањето без контрола на промени.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This protocol pre-defines the tests, logger positions, calculations and acceptance criteria by which the stated lane is qualified per QASOP_0XX. The protocol must be approved by QA before OQ starts; no criterion is changed after execution starts without change control.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Опфатени фази: OQ — температурно мапирање на возилото/пакувањето (тестови OQ-1 до OQ-6); PQ — три последователни пратки (PQ-1 до PQ-3).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Stages covered: OQ — temperature mapping of the vehicle/packaging (tests OQ-1 to OQ-6); PQ — three consecutive shipments (PQ-1 to PQ-3).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2.  ПРЕДУСЛОВИ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Prerequisites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Предуслов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Prerequisite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Референца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Reference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Yes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No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QASOP_0XX и WHSOP_003 одобрени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QASOP_0XX and WHSOP_003 approved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План за валидација и FMEA (A01) одобрени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Validation plan and FMEA (A01) approved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Технички договор за квалитет со превозникот важечки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Technical Quality Agreement with carrier valid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Техничка документација за климатизацијата достапна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Climate-control technical documentation available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Логерите калибрирани (неодреденост ≤ ±0,5 °C, ≤ ±3 % RH)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Loggers calibrated (uncertainty ≤ ±0.5 °C, ≤ ±3 % RH)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Тимот обучен за QASOP_0XX и WHSOP_003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Team trained on QASOP_0XX and WHSOP_003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Симулираниот товар дефиниран (термичка маса, конфигурација)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Simulated load defined (thermal mass, configuration)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3.  КОНФИГУРАЦИЈА НА ЛОГЕРИТЕ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Logger Configuration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Возило: 9 логери во товарниот простор (8 агли и центар), 1 кај вратата, 1 на излезот на климатизацијата, 1 амбиент. Пасивно пакување: 5 логери (центар и 4 агли) и 1 амбиент. Интервал: 1 мин (OQ), 5 мин (PQ). Логерите се синхронизираат по време пред почетокот.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Vehicle: 9 loggers in the load space (8 corners and centre), 1 at the door, 1 at the climate-control outlet, 1 ambient. Passive packaging: 5 loggers (centre and 4 corners) and 1 ambient. Interval: 1 min (OQ), 5 min (PQ). Loggers are time-synchronised before the start.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2551"/>
        <w:gridCol w:w="2835"/>
        <w:gridCol w:w="2812"/>
        <w:gridCol w:w="2268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Позиција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Position</w:t>
            </w:r>
          </w:p>
        </w:tc>
        <w:tc>
          <w:tcPr>
            <w:shd w:val="clear" w:color="auto" w:fill="2B547E"/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Сериски број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Serial No.</w:t>
            </w:r>
          </w:p>
        </w:tc>
        <w:tc>
          <w:tcPr>
            <w:shd w:val="clear" w:color="auto" w:fill="2B547E"/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Калибрација важи до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Calibration due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Синхронизиран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Synchronised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P1–P4 горе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top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P5–P8 долу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bottom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P9 центар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centre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P10 врата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door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P11 излез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outlet</w:t>
            </w:r>
          </w:p>
        </w:tc>
        <w:tc>
          <w:tcPr>
            <w:vAlign w:val="center"/>
            <w:tcW w:type="dxa" w:w="2835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P12 амбиент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ambient</w:t>
            </w:r>
          </w:p>
        </w:tc>
        <w:tc>
          <w:tcPr>
            <w:vAlign w:val="center"/>
            <w:tcW w:type="dxa" w:w="2835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81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4.  КРИТЕРИУМИ ЗА ПРИФАЌАЊЕ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Acceptance Criteria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927"/>
        <w:gridCol w:w="6271"/>
        <w:gridCol w:w="2268"/>
      </w:tblGrid>
      <w:tr>
        <w:trPr>
          <w:tblHeader w:val="true"/>
        </w:trPr>
        <w:tc>
          <w:tcPr>
            <w:shd w:val="clear" w:color="auto" w:fill="2B547E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Критериум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Criterion</w:t>
            </w:r>
          </w:p>
        </w:tc>
        <w:tc>
          <w:tcPr>
            <w:shd w:val="clear" w:color="auto" w:fill="2B547E"/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Основа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Basis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OQ-1 Празно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Empty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точки во опсег по стабилизацијата; време до опсег евидентирано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points within range after stabilisation; time to range recorded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WHO TRS 961 Ann. 9 Suppl. 7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OQ-2 Полно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Loaded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точки во опсег ≥ 125 % од максималното времетраење; MKT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points within range for ≥ 125 % of maximum duration; MKT within range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Annex 15 §6; GDP 9.2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OQ-3 Врата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Door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Враќање во опсег ≤ 15 мин по секое отворање (2 × 5 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Return to range ≤ 15 min after each opening (2 × 5 min)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FMEA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OQ-4 Прекин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Power off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Време на задржување ≥ макс. предвиден прекин (≥ 60 мин)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Hold time ≥ max. foreseen interruption (≥ 60 min)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A01 FMEA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OQ-5/6 Сезона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Season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Летно (амбиент ≥ 30 °C) и зимско (≤ 0 °C) мапирање во опсег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Summer (ambient ≥ 30 °C) and winter (≤ 0 °C) mapping within range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GDP 9.2; Suppl. 14</w:t>
            </w:r>
          </w:p>
        </w:tc>
      </w:tr>
      <w:tr>
        <w:tc>
          <w:tcPr>
            <w:shd w:val="clear" w:color="auto" w:fill="F2F2F2"/>
            <w:vAlign w:val="center"/>
            <w:tcW w:type="dxa" w:w="1927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PQ-1…3</w:t>
            </w:r>
          </w:p>
        </w:tc>
        <w:tc>
          <w:tcPr>
            <w:vAlign w:val="center"/>
            <w:tcW w:type="dxa" w:w="6271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Сите логери во опсег; времетраење ≤ квалификуваното; пломби и ланец на надзор комплетни</w:t>
            </w:r>
            <w:r>
              <w:rPr>
                <w:rFonts w:ascii="Calibri" w:hAnsi="Calibri"/>
                <w:b w:val="0"/>
                <w:i w:val="0"/>
                <w:color w:val="000000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/>
                <w:color w:val="000000"/>
                <w:sz w:val="14"/>
              </w:rPr>
              <w:t>All loggers within range; duration ≤ qualified; seals and chain of custody complete</w:t>
            </w:r>
          </w:p>
        </w:tc>
        <w:tc>
          <w:tcPr>
            <w:vAlign w:val="center"/>
            <w:tcW w:type="dxa" w:w="2268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8"/>
              </w:rPr>
              <w:t>Annex 15 §6; WHSOP_003</w:t>
            </w:r>
          </w:p>
        </w:tc>
      </w:tr>
    </w:tbl>
    <w:p>
      <w:pPr>
        <w:spacing w:before="90" w:after="90"/>
        <w:jc w:val="both"/>
      </w:pPr>
      <w:r>
        <w:rPr>
          <w:rFonts w:ascii="Calibri" w:hAnsi="Calibri"/>
          <w:b w:val="0"/>
          <w:i/>
          <w:color w:val="595959"/>
          <w:sz w:val="20"/>
        </w:rPr>
        <w:t>Опсег за готов производ и меѓупроизвод: 15–25 °C, RH ≤ 60 %; клонови: +2 до +8 °C; семе: 5–20 °C (WHSOP_003 §6.1).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Range for finished product and intermediate: 15–25 °C, RH ≤ 60 %; clones: +2 to +8 °C; seeds: 5–20 °C (WHSOP_003 §6.1).</w:t>
      </w:r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5.  ПРЕСМЕТКИ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Calculations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Сите вредности се пресметуваат од необработените податоци на секој логер (n мерења во интервал Δt), а не се читаат од софтверот без проверка; температурите во MKT се во келвини (T = °C + 273,15).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All values are calculated from each logger's raw data (n readings at interval Δt), not read from the software without verification; temperatures in the MKT are in kelvin (T = °C + 273.15).</w:t>
      </w:r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Средна вредност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Mean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acc>
          <m:accPr>
            <m:chr m:val="‾"/>
          </m:accPr>
          <m:e>
            <m:r>
              <m:t>T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</m:e>
        </m:nary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Стандардна девијација (примерок)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Standard deviation (sample)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r>
          <m:t>s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T</m:t>
                                </m:r>
                              </m:e>
                            </m:acc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nary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rad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Средна кинетичка температура (USP ⟨1079.2⟩)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Mean kinetic temperature (USP ⟨1079.2⟩)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Δ</m:t>
            </m:r>
            <m:r>
              <m:t>H</m:t>
            </m:r>
            <m:r>
              <m:rPr>
                <m:sty m:val="p"/>
              </m:rPr>
              <m:t>/</m:t>
            </m:r>
            <m:r>
              <m:t>R</m:t>
            </m:r>
          </m:num>
          <m:den>
            <m:r>
              <m:rPr>
                <m:sty m:val="p"/>
              </m:rPr>
              <m:t>−</m:t>
            </m:r>
            <m:r>
              <m:rPr>
                <m:sty m:val="p"/>
              </m:rPr>
              <m:t>ln</m:t>
            </m:r>
            <m:d>
              <m:dPr>
                <m:begChr m:val="("/>
                <m:endChr m:val=")"/>
                <m:sepChr m:val="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Δ</m:t>
                            </m:r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R</m:t>
                            </m:r>
                          </m:num>
                          <m:den>
                            <m:sSub>
                              <m:e>
                                <m:r>
                                  <m:t>T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den>
                        </m:f>
                      </m:sup>
                    </m:sSup>
                  </m:e>
                </m:nary>
              </m:e>
            </m:d>
          </m:den>
        </m:f>
        <m:r>
          <m:rPr>
            <m:sty m:val="p"/>
          </m:rPr>
          <m:t>,</m:t>
        </m:r>
        <m:r>
          <m:t> </m:t>
        </m:r>
        <m:r>
          <m:t>Δ</m:t>
        </m:r>
        <m:r>
          <m:t>H</m:t>
        </m:r>
        <m:r>
          <m:rPr>
            <m:sty m:val="p"/>
          </m:rPr>
          <m:t>/</m:t>
        </m:r>
        <m:r>
          <m:t>R</m:t>
        </m:r>
        <m:r>
          <m:rPr>
            <m:sty m:val="p"/>
          </m:rPr>
          <m:t>=</m:t>
        </m:r>
        <m:r>
          <m:t>10000</m:t>
        </m:r>
        <m:r>
          <m:t> </m:t>
        </m:r>
        <m:r>
          <m:rPr>
            <m:sty m:val="p"/>
          </m:rPr>
          <m:t>K</m:t>
        </m:r>
      </m:oMath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r>
          <m:t>M</m:t>
        </m:r>
        <m:r>
          <m:t>K</m:t>
        </m:r>
        <m:r>
          <m:t>T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273</m:t>
        </m:r>
        <m:r>
          <m:rPr>
            <m:sty m:val="p"/>
          </m:rPr>
          <m:t>,</m:t>
        </m:r>
        <m:r>
          <m:t>15</m:t>
        </m:r>
      </m:oMath>
    </w:p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Кумулативно време надвор од опсег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Cumulative time out of range</w:t>
      </w:r>
    </w:p>
    <w:p>
      <w:pPr>
        <w:spacing w:before="60" w:after="60"/>
        <w:jc w:val="center"/>
      </w:pPr>
      <m:oMath xmlns:a="http://schemas.openxmlformats.org/drawingml/2006/main" xmlns:pic="http://schemas.openxmlformats.org/drawingml/2006/picture">
        <m:sSub>
          <m:e>
            <m:r>
              <m:t>t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Δ</m:t>
        </m:r>
        <m:r>
          <m:t>t</m:t>
        </m:r>
        <m:r>
          <m:rPr>
            <m:sty m:val="p"/>
          </m:rPr>
          <m:t>⋅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b"/>
              </m:rPr>
              <m:t>1</m:t>
            </m:r>
          </m:e>
        </m:nary>
        <m:d>
          <m:dPr>
            <m:begChr m:val="["/>
            <m:endChr m:val="]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∉</m:t>
            </m:r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T</m:t>
                    </m:r>
                  </m:e>
                  <m:sub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T</m:t>
                    </m:r>
                  </m:e>
                  <m:sub>
                    <m:r>
                      <m:t>m</m:t>
                    </m:r>
                    <m:r>
                      <m:t>a</m:t>
                    </m:r>
                    <m:r>
                      <m:t>x</m:t>
                    </m:r>
                  </m:sub>
                </m:sSub>
              </m:e>
            </m:d>
          </m:e>
        </m:d>
      </m:oMath>
    </w:p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6.  OQ — ИЗВРШУВАЊЕ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OQ — Execution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Секој тест се изведува по редот, се евидентира во QASOP_0XX_A03 и се потпишува веднаш по завршувањето. Ако критериум не е исполнет, се постапува според §8.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Each test is executed in order, recorded in QASOP_0XX_A03 and signed immediately on completion. If a criterion is not met, proceed per §8.</w:t>
      </w:r>
    </w:p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6.1  OQ-1 Празно возило — стабилизација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OQ-1 Empty vehicle — stabilisation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Вклучи ја климатизацијата со празен товарен простор; бележи до стабилизација и уште 60 мин.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Start climate control with an empty load space; record until stable and a further 60 min.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6.2  OQ-2 Полно возило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OQ-2 Loaded vehicle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Натовари симулиран товар во максимална конфигурација; затвори; бележи ≥ 125 % од максималното времетраење од A01.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Load the simulated load in maximum configuration; close; record for ≥ 125 % of the maximum duration from A01.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6.3  OQ-3 Отворање на врата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OQ-3 Door opening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 полн товар, отвори ја вратата 5 мин, затвори, почекај враќање во опсег; повтори втор пат.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 full load, open the door for 5 min, close, wait for return to range; repeat a second time.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6.4  OQ-4 Прекин на напојување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OQ-4 Power interruption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При полн товар во стабилна состојба, исклучи ја климатизацијата; бележи до првото излегување од опсегот (време на задржување); вклучи ја повторно.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With full load at steady state, switch off climate control; record until the first point leaves the range (hold time); switch back on.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6.5  OQ-5 Летно мапирање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OQ-5 Summer mapping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Повтори го OQ-2 при амбиент ≥ 30 °C.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Repeat OQ-2 at ambient ≥ 30 °C.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60" w:after="80"/>
        <w:outlineLvl w:val="1"/>
      </w:pPr>
      <w:r>
        <w:rPr>
          <w:rFonts w:ascii="Calibri" w:hAnsi="Calibri"/>
          <w:b/>
          <w:i w:val="0"/>
          <w:color w:val="2B547E"/>
          <w:sz w:val="32"/>
        </w:rPr>
        <w:t>6.6  OQ-6 Зимско мапирање</w:t>
      </w:r>
      <w:r>
        <w:rPr>
          <w:rFonts w:ascii="Calibri" w:hAnsi="Calibri"/>
          <w:b w:val="0"/>
          <w:i w:val="0"/>
          <w:color w:val="595959"/>
          <w:sz w:val="28"/>
        </w:rPr>
        <w:t xml:space="preserve">  |  </w:t>
      </w:r>
      <w:r>
        <w:rPr>
          <w:rFonts w:ascii="Calibri" w:hAnsi="Calibri"/>
          <w:b w:val="0"/>
          <w:i w:val="0"/>
          <w:color w:val="595959"/>
          <w:sz w:val="24"/>
        </w:rPr>
        <w:t>OQ-6 Winter mapping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Повтори го OQ-2 при амбиент ≤ 0 °C.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Repeat OQ-2 at ambient ≤ 0 °C.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360"/>
        <w:gridCol w:w="1360"/>
        <w:gridCol w:w="1701"/>
        <w:gridCol w:w="1701"/>
        <w:gridCol w:w="1247"/>
        <w:gridCol w:w="1474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Почеток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Start</w:t>
            </w:r>
          </w:p>
        </w:tc>
        <w:tc>
          <w:tcPr>
            <w:shd w:val="clear" w:color="auto" w:fill="2B547E"/>
            <w:vAlign w:val="center"/>
            <w:tcW w:type="dxa" w:w="136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Крај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End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 °C / pos.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Макс. °C / поз.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Max. °C / pos.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47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Надвор (мин)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Out (min)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36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7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7.  PQ — ИЗВРШУВАЊЕ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PQ — Execution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PQ започнува само по писмено одобрение на OQ од QA. Секоја пратка се изведува целосно според WHSOP_003 и се евидентира во QASOP_0XX_A04; барем една пратка мора да биде во сезоната на најлош случај.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PQ starts only after written QA approval of OQ. Each shipment is performed in full per WHSOP_003 and recorded in QASOP_0XX_A04; at least one shipment must fall in the worst-case season.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34"/>
        <w:gridCol w:w="1587"/>
        <w:gridCol w:w="1134"/>
        <w:gridCol w:w="1134"/>
        <w:gridCol w:w="1587"/>
        <w:gridCol w:w="1020"/>
        <w:gridCol w:w="1247"/>
        <w:gridCol w:w="162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Пратка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Shipment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UTID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Сезона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Season</w:t>
            </w:r>
          </w:p>
        </w:tc>
        <w:tc>
          <w:tcPr>
            <w:shd w:val="clear" w:color="auto" w:fill="2B547E"/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Мин./макс. °C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Min./max. °C</w:t>
            </w:r>
          </w:p>
        </w:tc>
        <w:tc>
          <w:tcPr>
            <w:shd w:val="clear" w:color="auto" w:fill="2B547E"/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MKT °C</w:t>
            </w:r>
          </w:p>
        </w:tc>
        <w:tc>
          <w:tcPr>
            <w:shd w:val="clear" w:color="auto" w:fill="2B547E"/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Траење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Duration</w:t>
            </w:r>
          </w:p>
        </w:tc>
        <w:tc>
          <w:tcPr>
            <w:shd w:val="clear" w:color="auto" w:fill="2B547E"/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Исполнет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Met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PQ-1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PQ-2</w:t>
            </w:r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PQ-3</w:t>
            </w:r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58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020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247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62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140" w:after="60"/>
      </w:pPr>
      <w:r>
        <w:rPr>
          <w:rFonts w:ascii="Calibri" w:hAnsi="Calibri"/>
          <w:b/>
          <w:i w:val="0"/>
          <w:color w:val="2B547E"/>
          <w:sz w:val="26"/>
        </w:rPr>
        <w:t>Потпис за овој запис</w:t>
      </w:r>
      <w:r>
        <w:rPr>
          <w:rFonts w:ascii="Calibri" w:hAnsi="Calibri"/>
          <w:b w:val="0"/>
          <w:i w:val="0"/>
          <w:color w:val="595959"/>
          <w:sz w:val="22"/>
        </w:rPr>
        <w:t xml:space="preserve">  |  </w:t>
      </w:r>
      <w:r>
        <w:rPr>
          <w:rFonts w:ascii="Calibri" w:hAnsi="Calibri"/>
          <w:b w:val="0"/>
          <w:i/>
          <w:color w:val="595959"/>
          <w:sz w:val="22"/>
        </w:rPr>
        <w:t>Signature for this record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5363"/>
        <w:gridCol w:w="1701"/>
        <w:gridCol w:w="1701"/>
        <w:gridCol w:w="1701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Улога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Role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и внел сурови податоци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&amp; entered raw data (validation team)</w:t>
            </w:r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5363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Проверил и одобрил овој запис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Checked &amp; approved this record (QA)</w:t>
            </w:r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8.  ОТСТАПУВАЊА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Deviations</w:t>
      </w:r>
    </w:p>
    <w:p>
      <w:pPr>
        <w:spacing w:before="0" w:after="0" w:line="250" w:lineRule="auto"/>
        <w:jc w:val="both"/>
      </w:pPr>
      <w:r>
        <w:rPr>
          <w:rFonts w:ascii="Calibri" w:hAnsi="Calibri"/>
          <w:b w:val="0"/>
          <w:i w:val="0"/>
          <w:color w:val="000000"/>
          <w:sz w:val="22"/>
        </w:rPr>
        <w:t>Резултат надвор од критериумот прво се проверува (дефект на логер, поставување); ако се потврди, се отвора отстапување според QAS-05-002 и засегнатиот тест се повторува во целост по корекцијата. Ниеден резултат не се отфрла без образложение одобрено од QA.</w:t>
      </w:r>
      <w:r>
        <w:rPr>
          <w:rFonts w:ascii="Calibri" w:hAnsi="Calibri"/>
          <w:b w:val="0"/>
          <w:i w:val="0"/>
          <w:color w:val="595959"/>
          <w:sz w:val="16"/>
        </w:rPr>
        <w:t xml:space="preserve">  |  </w:t>
      </w:r>
      <w:r>
        <w:rPr>
          <w:rFonts w:ascii="Calibri" w:hAnsi="Calibri"/>
          <w:b w:val="0"/>
          <w:i/>
          <w:color w:val="595959"/>
          <w:sz w:val="16"/>
        </w:rPr>
        <w:t>A result outside the criterion is first checked (logger failure, placement); if confirmed, a deviation is opened per QAS-05-002 and the affected test is repeated in full after correction. No result is discarded without a QA-approved justification.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1134"/>
        <w:gridCol w:w="3662"/>
        <w:gridCol w:w="1701"/>
        <w:gridCol w:w="2551"/>
        <w:gridCol w:w="1417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Тест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Test</w:t>
            </w:r>
          </w:p>
        </w:tc>
        <w:tc>
          <w:tcPr>
            <w:shd w:val="clear" w:color="auto" w:fill="2B547E"/>
            <w:vAlign w:val="center"/>
            <w:tcW w:type="dxa" w:w="3662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Description</w:t>
            </w:r>
          </w:p>
        </w:tc>
        <w:tc>
          <w:tcPr>
            <w:shd w:val="clear" w:color="auto" w:fill="2B547E"/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Отстапување бр.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Deviation No.</w:t>
            </w:r>
          </w:p>
        </w:tc>
        <w:tc>
          <w:tcPr>
            <w:shd w:val="clear" w:color="auto" w:fill="2B547E"/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Решение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Resolution</w:t>
            </w:r>
          </w:p>
        </w:tc>
        <w:tc>
          <w:tcPr>
            <w:shd w:val="clear" w:color="auto" w:fill="2B547E"/>
            <w:vAlign w:val="center"/>
            <w:tcW w:type="dxa" w:w="1417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Повторено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Repeated</w:t>
            </w:r>
          </w:p>
        </w:tc>
      </w:tr>
      <w:tr>
        <w:trPr>
          <w:cantSplit/>
        </w:trPr>
        <w:tc>
          <w:tcPr>
            <w:vAlign w:val="center"/>
            <w:tcW w:type="dxa" w:w="1134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3662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vAlign w:val="center"/>
            <w:tcW w:type="dxa" w:w="1134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3662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70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551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1417"/>
          </w:tcPr>
          <w:p>
            <w:pPr>
              <w:spacing w:before="20" w:after="20"/>
              <w:jc w:val="center"/>
            </w:pPr>
            <w:r/>
          </w:p>
        </w:tc>
      </w:tr>
    </w:tbl>
    <w:p>
      <w:pPr>
        <w:keepNext/>
        <w:spacing w:before="240" w:after="140"/>
        <w:outlineLvl w:val="0"/>
      </w:pPr>
      <w:r>
        <w:rPr>
          <w:rFonts w:ascii="Calibri" w:hAnsi="Calibri"/>
          <w:b/>
          <w:i w:val="0"/>
          <w:color w:val="2B547E"/>
          <w:sz w:val="40"/>
        </w:rPr>
        <w:t>9.  ЗАВРШНО ПОТПИШУВАЊЕ НА ИЗВРШУВАЊЕТО</w:t>
      </w:r>
      <w:r>
        <w:rPr>
          <w:rFonts w:ascii="Calibri" w:hAnsi="Calibri"/>
          <w:b w:val="0"/>
          <w:i w:val="0"/>
          <w:color w:val="595959"/>
          <w:sz w:val="36"/>
        </w:rPr>
        <w:t xml:space="preserve">  |  </w:t>
      </w:r>
      <w:r>
        <w:rPr>
          <w:rFonts w:ascii="Calibri" w:hAnsi="Calibri"/>
          <w:b w:val="0"/>
          <w:i w:val="0"/>
          <w:color w:val="595959"/>
          <w:sz w:val="32"/>
        </w:rPr>
        <w:t>Final Execution Sign-off</w:t>
      </w:r>
    </w:p>
    <w:tbl>
      <w:tblPr>
        <w:tblLook w:firstColumn="1" w:firstRow="1" w:lastColumn="0" w:lastRow="0" w:noHBand="0" w:noVBand="1" w:val="04A0"/>
        <w:tblLayout w:type="fixed"/>
        <w:tblW w:type="dxa" w:w="10466"/>
        <w:tblInd w:type="dxa" w:w="0"/>
        <w:jc w:val="center"/>
        <w:tblBorders>
          <w:top w:val="single" w:sz="4" w:space="0" w:color="2B547E"/>
          <w:left w:val="single" w:sz="4" w:space="0" w:color="2B547E"/>
          <w:bottom w:val="single" w:sz="4" w:space="0" w:color="2B547E"/>
          <w:right w:val="single" w:sz="4" w:space="0" w:color="2B547E"/>
          <w:insideH w:val="single" w:sz="4" w:space="0" w:color="2B547E"/>
          <w:insideV w:val="single" w:sz="4" w:space="0" w:color="2B547E"/>
        </w:tblBorders>
      </w:tblPr>
      <w:tblGrid>
        <w:gridCol w:w="4229"/>
        <w:gridCol w:w="2079"/>
        <w:gridCol w:w="2079"/>
        <w:gridCol w:w="2079"/>
      </w:tblGrid>
      <w:tr>
        <w:trPr>
          <w:tblHeader w:val="true"/>
          <w:cantSplit/>
        </w:trPr>
        <w:tc>
          <w:tcPr>
            <w:shd w:val="clear" w:color="auto" w:fill="2B547E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Дејство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Action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Име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Name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Датум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Date</w:t>
            </w:r>
          </w:p>
        </w:tc>
        <w:tc>
          <w:tcPr>
            <w:shd w:val="clear" w:color="auto" w:fill="2B547E"/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Потпис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FFFFFF"/>
                <w:sz w:val="14"/>
              </w:rPr>
              <w:t>Signature</w:t>
            </w:r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Извршил (тим за валидација)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Executed (validation team)</w:t>
            </w:r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keepNext/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Прегледал (QA)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Reviewed (QA)</w:t>
            </w:r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keepNext/>
              <w:spacing w:before="20" w:after="20"/>
              <w:jc w:val="center"/>
            </w:pPr>
            <w:r/>
          </w:p>
        </w:tc>
      </w:tr>
      <w:tr>
        <w:trPr>
          <w:cantSplit/>
        </w:trPr>
        <w:tc>
          <w:tcPr>
            <w:shd w:val="clear" w:color="auto" w:fill="F2F2F2"/>
            <w:vAlign w:val="center"/>
            <w:tcW w:type="dxa" w:w="4229"/>
          </w:tcPr>
          <w:p>
            <w:pPr>
              <w:spacing w:before="20" w:after="20"/>
              <w:jc w:val="center"/>
            </w:pPr>
            <w:r/>
            <w:r>
              <w:rPr>
                <w:rFonts w:ascii="Calibri" w:hAnsi="Calibri"/>
                <w:b/>
                <w:i w:val="0"/>
                <w:color w:val="2B547E"/>
                <w:sz w:val="18"/>
              </w:rPr>
              <w:t>Одобрил (QP)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 xml:space="preserve"> | </w:t>
            </w:r>
            <w:r>
              <w:rPr>
                <w:rFonts w:ascii="Calibri" w:hAnsi="Calibri"/>
                <w:b w:val="0"/>
                <w:i w:val="0"/>
                <w:color w:val="2B547E"/>
                <w:sz w:val="14"/>
              </w:rPr>
              <w:t>Approved (QP)</w:t>
            </w:r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  <w:tc>
          <w:tcPr>
            <w:vAlign w:val="center"/>
            <w:tcW w:type="dxa" w:w="2079"/>
          </w:tcPr>
          <w:p>
            <w:pPr>
              <w:spacing w:before="20" w:after="20"/>
              <w:jc w:val="center"/>
            </w:pPr>
            <w:r/>
          </w:p>
        </w:tc>
      </w:tr>
    </w:tbl>
    <w:sectPr w:rsidR="00433AE1" w:rsidRPr="00E10D5A" w:rsidSect="00522430">
      <w:headerReference w:type="first" r:id="rId7"/>
      <w:headerReference w:type="default" r:id="rId7"/>
      <w:footerReference w:type="default" r:id="rId8"/>
      <w:pgSz w:w="11906" w:h="16838" w:code="9"/>
      <w:pgMar w:top="540" w:right="720" w:bottom="630" w:left="720" w:header="567" w:footer="144" w:gutter="0"/>
      <w:cols w:space="720"/>
      <w:docGrid w:linePitch="36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D48C77" w14:textId="77777777" w:rsidR="00E25461" w:rsidRDefault="00E25461">
      <w:r>
        <w:separator/>
      </w:r>
    </w:p>
  </w:endnote>
  <w:endnote w:type="continuationSeparator" w:id="0">
    <w:p w14:paraId="0214EC49" w14:textId="77777777" w:rsidR="00E25461" w:rsidRDefault="00E254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22003830"/>
      <w:docPartObj>
        <w:docPartGallery w:val="Page Numbers (Bottom of Page)"/>
        <w:docPartUnique/>
      </w:docPartObj>
    </w:sdtPr>
    <w:sdtContent>
      <w:sdt>
        <w:sdtPr>
          <w:id w:val="-1769616900"/>
          <w:docPartObj>
            <w:docPartGallery w:val="Page Numbers (Top of Page)"/>
            <w:docPartUnique/>
          </w:docPartObj>
        </w:sdtPr>
        <w:sdtContent>
          <w:p w14:paraId="0423456F" w14:textId="3FFEC477" w:rsidR="0034733B" w:rsidRDefault="00997218">
            <w:pPr>
              <w:jc w:val="right"/>
            </w:pPr>
            <w:r>
              <w:t xml:space="preserve"> </w:t>
            </w:r>
            <w:r w:rsidR="00000000">
              <w:t xml:space="preserve">Page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PAGE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  <w:r w:rsidR="00000000">
              <w:t xml:space="preserve"> of </w:t>
            </w:r>
            <w:r w:rsidR="00000000">
              <w:rPr>
                <w:b/>
                <w:bCs/>
                <w:sz w:val="24"/>
                <w:szCs w:val="24"/>
              </w:rPr>
              <w:fldChar w:fldCharType="begin"/>
            </w:r>
            <w:r w:rsidR="00000000">
              <w:rPr>
                <w:b/>
                <w:bCs/>
              </w:rPr>
              <w:instrText xml:space="preserve"> NUMPAGES  </w:instrText>
            </w:r>
            <w:r w:rsidR="00000000">
              <w:rPr>
                <w:b/>
                <w:bCs/>
                <w:sz w:val="24"/>
                <w:szCs w:val="24"/>
              </w:rPr>
              <w:fldChar w:fldCharType="separate"/>
            </w:r>
            <w:r w:rsidR="00000000">
              <w:rPr>
                <w:b/>
                <w:bCs/>
                <w:noProof/>
              </w:rPr>
              <w:t>2</w:t>
            </w:r>
            <w:r w:rsidR="00000000"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582B5DBC" w14:textId="77777777" w:rsidR="0034733B" w:rsidRDefault="0034733B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A26041" w14:textId="77777777" w:rsidR="00E25461" w:rsidRDefault="00E25461">
      <w:r>
        <w:separator/>
      </w:r>
    </w:p>
  </w:footnote>
  <w:footnote w:type="continuationSeparator" w:id="0">
    <w:p w14:paraId="68847301" w14:textId="77777777" w:rsidR="00E25461" w:rsidRDefault="00E254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117" w:type="pct"/>
      <w:jc w:val="center"/>
      <w:tblBorders>
        <w:top w:val="single" w:sz="8" w:space="0" w:color="7F7F7F"/>
        <w:bottom w:val="single" w:sz="8" w:space="0" w:color="7F7F7F"/>
        <w:insideH w:val="single" w:sz="4" w:space="0" w:color="7F7F7F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1259"/>
      <w:gridCol w:w="7830"/>
      <w:gridCol w:w="1622"/>
    </w:tblGrid>
    <w:tr w:rsidR="00CB2275" w:rsidRPr="008035CF" w14:paraId="1989F723" w14:textId="77777777" w:rsidTr="00A20230">
      <w:trPr>
        <w:trHeight w:val="880"/>
        <w:jc w:val="center"/>
      </w:trPr>
      <w:tc>
        <w:tcPr>
          <w:tcW w:w="588" w:type="pct"/>
          <w:vMerge w:val="restart"/>
          <w:vAlign w:val="center"/>
        </w:tcPr>
        <w:p w14:paraId="1CC0778B" w14:textId="77777777" w:rsidR="0034733B" w:rsidRPr="00BB324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hAnsi="Calibri" w:cs="Calibri"/>
            </w:rPr>
          </w:pPr>
          <w:bookmarkStart w:id="0" w:name="_Hlk119928939"/>
          <w:r w:rsidRPr="008035CF">
            <w:rPr>
              <w:rFonts w:ascii="Calibri" w:eastAsia="Calibri" w:hAnsi="Calibri" w:cs="Calibri"/>
              <w:b/>
              <w:bCs/>
              <w:noProof/>
            </w:rPr>
            <w:drawing>
              <wp:anchor distT="0" distB="0" distL="114300" distR="114300" simplePos="0" relativeHeight="251661312" behindDoc="0" locked="0" layoutInCell="1" allowOverlap="1" wp14:anchorId="3F3B7D12" wp14:editId="313BF894">
                <wp:simplePos x="0" y="0"/>
                <wp:positionH relativeFrom="column">
                  <wp:posOffset>219031</wp:posOffset>
                </wp:positionH>
                <wp:positionV relativeFrom="paragraph">
                  <wp:posOffset>4445</wp:posOffset>
                </wp:positionV>
                <wp:extent cx="476250" cy="534254"/>
                <wp:effectExtent l="0" t="0" r="0" b="0"/>
                <wp:wrapNone/>
                <wp:docPr id="2070919854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26586552" name="Picture 1626586552"/>
                        <pic:cNvPicPr/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37228" t="355" r="36609" b="39073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76250" cy="534254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3655" w:type="pct"/>
          <w:vMerge w:val="restart"/>
          <w:vAlign w:val="center"/>
        </w:tcPr>
        <w:p w14:paraId="1EB6C8E5" w14:textId="77777777" w:rsidR="0034733B" w:rsidRPr="002325F2" w:rsidRDefault="00000000" w:rsidP="002325F2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center"/>
            <w:rPr>
              <w:rFonts w:ascii="Calibri" w:eastAsia="Calibri" w:hAnsi="Calibri" w:cs="Calibri"/>
              <w:lang w:val="ru-RU"/>
            </w:rPr>
          </w:pPr>
          <w:r w:rsidRPr="008035CF">
            <w:rPr>
              <w:rFonts w:ascii="Calibri" w:hAnsi="Calibri" w:cs="Calibri"/>
              <w:lang w:val="mk-MK"/>
            </w:rPr>
            <w:t>Име на документ</w:t>
          </w:r>
          <w:r w:rsidRPr="002325F2">
            <w:rPr>
              <w:rFonts w:ascii="Calibri" w:eastAsia="Calibri" w:hAnsi="Calibri" w:cs="Calibri"/>
              <w:lang w:val="ru-RU"/>
            </w:rPr>
            <w:t xml:space="preserve"> | </w:t>
          </w:r>
          <w:r>
            <w:rPr>
              <w:rFonts w:ascii="Calibri" w:eastAsia="Calibri" w:hAnsi="Calibri" w:cs="Calibri"/>
            </w:rPr>
            <w:t>D</w:t>
          </w:r>
          <w:r w:rsidRPr="008035CF">
            <w:rPr>
              <w:rFonts w:ascii="Calibri" w:eastAsia="Calibri" w:hAnsi="Calibri" w:cs="Calibri"/>
            </w:rPr>
            <w:t>ocument</w:t>
          </w:r>
          <w:r w:rsidRPr="002325F2">
            <w:rPr>
              <w:rFonts w:ascii="Calibri" w:eastAsia="Calibri" w:hAnsi="Calibri" w:cs="Calibri"/>
              <w:lang w:val="ru-RU"/>
            </w:rPr>
            <w:t xml:space="preserve"> </w:t>
          </w:r>
          <w:r>
            <w:rPr>
              <w:rFonts w:ascii="Calibri" w:eastAsia="Calibri" w:hAnsi="Calibri" w:cs="Calibri"/>
            </w:rPr>
            <w:t>name</w:t>
          </w:r>
          <w:r w:rsidRPr="002325F2">
            <w:rPr>
              <w:rFonts w:ascii="Calibri" w:eastAsia="Calibri" w:hAnsi="Calibri" w:cs="Calibri"/>
              <w:lang w:val="ru-RU"/>
            </w:rPr>
            <w:t>:</w:t>
          </w:r>
        </w:p>
        <w:p w14:paraId="6545B1E9" w14:textId="54D9CE82" w:rsidR="0034733B" w:rsidRPr="00A96F26" w:rsidRDefault="00000000" w:rsidP="002325F2">
          <w:pPr>
            <w:ind w:left="14"/>
            <w:contextualSpacing/>
            <w:jc w:val="center"/>
            <w:rPr>
              <w:rFonts w:ascii="Calibri" w:hAnsi="Calibri" w:cs="Calibri"/>
            </w:rPr>
          </w:pPr>
          <w:r w:rsidRPr="00522430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  <w:t>Протокол за валидација на транспорт (OQ/PQ)</w:t>
          </w:r>
          <w:r w:rsidR="002325F2" w:rsidRPr="002325F2">
            <w:rPr>
              <w:rFonts w:ascii="Arial Narrow" w:hAnsi="Arial Narrow" w:cs="Arial Narrow"/>
              <w:b/>
              <w:bCs/>
              <w:sz w:val="24"/>
              <w:szCs w:val="24"/>
            </w:rPr>
            <w:br/>
          </w:r>
          <w:r w:rsidRPr="002325F2">
            <w:rPr>
              <w:rFonts w:ascii="Arial Narrow" w:hAnsi="Arial Narrow" w:cs="Arial Narrow"/>
              <w:b/>
              <w:bCs/>
              <w:sz w:val="28"/>
              <w:szCs w:val="28"/>
              <w:lang w:val="mk-MK"/>
            </w:rPr>
          </w:r>
          <w:r>
            <w:rPr>
              <w:rFonts w:ascii="Arial Narrow" w:hAnsi="Arial Narrow" w:cs="Arial Narrow"/>
              <w:sz w:val="24"/>
              <w:szCs w:val="24"/>
            </w:rPr>
          </w:r>
          <w:r w:rsidR="002325F2">
            <w:rPr>
              <w:rFonts w:ascii="Arial Narrow" w:hAnsi="Arial Narrow" w:cs="Arial Narrow"/>
              <w:sz w:val="24"/>
              <w:szCs w:val="24"/>
            </w:rPr>
          </w:r>
          <w:r w:rsidRPr="002325F2">
            <w:rPr>
              <w:rFonts w:ascii="Arial Narrow" w:hAnsi="Arial Narrow" w:cs="Arial Narrow"/>
            </w:rPr>
            <w:t>Transport Validation Protocol (OQ/PQ)</w:t>
          </w:r>
        </w:p>
      </w:tc>
      <w:tc>
        <w:tcPr>
          <w:tcW w:w="757" w:type="pct"/>
          <w:tcBorders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3DC724BE" w14:textId="77777777" w:rsidR="0034733B" w:rsidRPr="008035CF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</w:rPr>
          </w:pPr>
          <w:r w:rsidRPr="008035CF">
            <w:rPr>
              <w:rFonts w:ascii="Calibri" w:hAnsi="Calibri" w:cs="Calibri"/>
              <w:lang w:val="mk-MK"/>
            </w:rPr>
            <w:t>Документ</w:t>
          </w:r>
          <w:r w:rsidRPr="008035CF">
            <w:rPr>
              <w:rFonts w:ascii="Calibri" w:hAnsi="Calibri" w:cs="Calibri"/>
            </w:rPr>
            <w:t xml:space="preserve"> </w:t>
          </w:r>
          <w:r w:rsidRPr="008035CF">
            <w:rPr>
              <w:rFonts w:ascii="Calibri" w:hAnsi="Calibri" w:cs="Calibri"/>
              <w:lang w:val="mk-MK"/>
            </w:rPr>
            <w:t>бр.</w:t>
          </w:r>
          <w:r w:rsidRPr="008035CF">
            <w:rPr>
              <w:rFonts w:ascii="Calibri" w:eastAsia="Calibri" w:hAnsi="Calibri" w:cs="Calibri"/>
            </w:rPr>
            <w:t xml:space="preserve"> </w:t>
          </w:r>
          <w:r>
            <w:rPr>
              <w:rFonts w:ascii="Calibri" w:eastAsia="Calibri" w:hAnsi="Calibri" w:cs="Calibri"/>
            </w:rPr>
            <w:t>|</w:t>
          </w:r>
        </w:p>
        <w:p w14:paraId="7927EEBB" w14:textId="77777777" w:rsidR="00A20230" w:rsidRPr="00A20230" w:rsidRDefault="0000000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hAnsi="Calibri" w:cs="Calibri"/>
              <w:b/>
              <w:sz w:val="12"/>
              <w:szCs w:val="14"/>
            </w:rPr>
          </w:pPr>
          <w:r w:rsidRPr="00CB2275">
            <w:rPr>
              <w:rFonts w:ascii="Calibri" w:eastAsia="Calibri" w:hAnsi="Calibri" w:cs="Calibri"/>
              <w:sz w:val="18"/>
              <w:szCs w:val="18"/>
            </w:rPr>
            <w:t>Code of document:</w:t>
          </w:r>
          <w:r>
            <w:rPr>
              <w:rFonts w:ascii="Calibri" w:hAnsi="Calibri" w:cs="Calibri"/>
              <w:sz w:val="18"/>
              <w:szCs w:val="18"/>
            </w:rPr>
            <w:t xml:space="preserve"> </w:t>
          </w:r>
          <w:r>
            <w:rPr>
              <w:rFonts w:ascii="Calibri" w:hAnsi="Calibri" w:cs="Calibri"/>
              <w:b/>
              <w:sz w:val="18"/>
            </w:rPr>
            <w:br/>
          </w:r>
        </w:p>
        <w:p w14:paraId="1BD9527C" w14:textId="1CE33015" w:rsidR="0034733B" w:rsidRPr="00CB2275" w:rsidRDefault="00A20230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8"/>
              <w:szCs w:val="18"/>
            </w:rPr>
          </w:pPr>
          <w:r w:rsidRPr="00A20230">
            <w:rPr>
              <w:rFonts w:ascii="Calibri" w:hAnsi="Calibri" w:cs="Calibri"/>
              <w:b/>
              <w:sz w:val="19"/>
              <w:szCs w:val="24"/>
            </w:rPr>
            <w:t>QASOP_0XX_A02</w:t>
          </w:r>
          <w:r>
            <w:rPr>
              <w:rFonts w:ascii="Calibri" w:hAnsi="Calibri" w:cs="Calibri"/>
              <w:b/>
              <w:sz w:val="18"/>
            </w:rPr>
            <w:br/>
          </w:r>
          <w:r w:rsidRPr="00A20230">
            <w:rPr>
              <w:rFonts w:ascii="Calibri" w:hAnsi="Calibri" w:cs="Calibri"/>
              <w:b/>
              <w:szCs w:val="22"/>
            </w:rPr>
          </w:r>
          <w:r w:rsidRPr="00A20230">
            <w:rPr>
              <w:rFonts w:ascii="Calibri" w:hAnsi="Calibri" w:cs="Calibri"/>
              <w:b/>
              <w:szCs w:val="22"/>
            </w:rPr>
          </w:r>
        </w:p>
        <w:p w14:paraId="7B3E2121" w14:textId="77777777" w:rsidR="0034733B" w:rsidRPr="00A20230" w:rsidRDefault="0034733B" w:rsidP="00A20230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  <w:bCs/>
              <w:sz w:val="14"/>
              <w:szCs w:val="14"/>
            </w:rPr>
          </w:pPr>
        </w:p>
      </w:tc>
    </w:tr>
    <w:tr w:rsidR="00CB2275" w:rsidRPr="008035CF" w14:paraId="51B2CA04" w14:textId="77777777" w:rsidTr="00522430">
      <w:trPr>
        <w:trHeight w:val="167"/>
        <w:jc w:val="center"/>
      </w:trPr>
      <w:tc>
        <w:tcPr>
          <w:tcW w:w="588" w:type="pct"/>
          <w:vMerge/>
        </w:tcPr>
        <w:p w14:paraId="5CDAAED6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  <w:b/>
              <w:bCs/>
            </w:rPr>
          </w:pPr>
        </w:p>
      </w:tc>
      <w:tc>
        <w:tcPr>
          <w:tcW w:w="3655" w:type="pct"/>
          <w:vMerge/>
        </w:tcPr>
        <w:p w14:paraId="4C723FA1" w14:textId="77777777" w:rsidR="0034733B" w:rsidRPr="008035CF" w:rsidRDefault="0034733B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rPr>
              <w:rFonts w:ascii="Calibri" w:eastAsia="Calibri" w:hAnsi="Calibri" w:cs="Calibri"/>
            </w:rPr>
          </w:pPr>
        </w:p>
      </w:tc>
      <w:tc>
        <w:tcPr>
          <w:tcW w:w="757" w:type="pct"/>
          <w:tcBorders>
            <w:top w:val="single" w:sz="8" w:space="0" w:color="7F7F7F"/>
            <w:bottom w:val="single" w:sz="8" w:space="0" w:color="7F7F7F"/>
          </w:tcBorders>
          <w:tcMar>
            <w:left w:w="0" w:type="dxa"/>
            <w:right w:w="0" w:type="dxa"/>
          </w:tcMar>
          <w:vAlign w:val="center"/>
        </w:tcPr>
        <w:p w14:paraId="55FFCEF1" w14:textId="49A40F7D" w:rsidR="0034733B" w:rsidRPr="008035CF" w:rsidRDefault="00000000" w:rsidP="005D26C6">
          <w:pPr>
            <w:tabs>
              <w:tab w:val="center" w:pos="4513"/>
              <w:tab w:val="right" w:pos="9026"/>
            </w:tabs>
            <w:spacing w:line="192" w:lineRule="auto"/>
            <w:contextualSpacing/>
            <w:jc w:val="right"/>
            <w:rPr>
              <w:rFonts w:ascii="Calibri" w:eastAsia="Calibri" w:hAnsi="Calibri" w:cs="Calibri"/>
              <w:b/>
            </w:rPr>
          </w:pPr>
          <w:r w:rsidRPr="008035CF">
            <w:rPr>
              <w:rFonts w:ascii="Calibri" w:hAnsi="Calibri" w:cs="Calibri"/>
              <w:lang w:val="mk-MK"/>
            </w:rPr>
            <w:t>Верзија</w:t>
          </w:r>
          <w:r w:rsidR="00A20230">
            <w:rPr>
              <w:rFonts w:ascii="Calibri" w:hAnsi="Calibri" w:cs="Calibri"/>
            </w:rPr>
            <w:t xml:space="preserve"> | </w:t>
          </w:r>
          <w:r w:rsidR="00A20230" w:rsidRPr="00A20230">
            <w:rPr>
              <w:rFonts w:ascii="Calibri" w:hAnsi="Calibri" w:cs="Calibri"/>
              <w:sz w:val="16"/>
              <w:szCs w:val="16"/>
            </w:rPr>
            <w:t>Ver</w:t>
          </w:r>
          <w:r w:rsidRPr="00A20230">
            <w:rPr>
              <w:rFonts w:ascii="Calibri" w:eastAsia="Calibri" w:hAnsi="Calibri" w:cs="Calibri"/>
              <w:sz w:val="16"/>
              <w:szCs w:val="16"/>
            </w:rPr>
            <w:t xml:space="preserve"> </w:t>
          </w:r>
          <w:r w:rsidRPr="008035CF">
            <w:rPr>
              <w:rFonts w:ascii="Calibri" w:eastAsia="Calibri" w:hAnsi="Calibri" w:cs="Calibri"/>
              <w:bCs/>
            </w:rPr>
            <w:t>:</w:t>
          </w:r>
          <w:r w:rsidRPr="008035CF">
            <w:rPr>
              <w:rFonts w:ascii="Calibri" w:eastAsia="Calibri" w:hAnsi="Calibri" w:cs="Calibri"/>
              <w:b/>
            </w:rPr>
            <w:t xml:space="preserve"> </w:t>
          </w:r>
          <w:r w:rsidRPr="008035CF">
            <w:rPr>
              <w:rFonts w:ascii="Calibri" w:eastAsia="Calibri" w:hAnsi="Calibri" w:cs="Calibri"/>
              <w:b/>
              <w:bCs/>
            </w:rPr>
            <w:t>DRAFT</w:t>
          </w:r>
        </w:p>
      </w:tc>
    </w:tr>
  </w:tbl>
  <w:bookmarkEnd w:id="0"/>
  <w:p w14:paraId="3A8D8CB6" w14:textId="31ADD0DC" w:rsidR="00522430" w:rsidRPr="004074EE" w:rsidRDefault="00000000" w:rsidP="00C0038D">
    <w:pPr>
      <w:rPr>
        <w:sz w:val="16"/>
        <w:szCs w:val="16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11090D1D" wp14:editId="2348CF94">
          <wp:simplePos x="0" y="0"/>
          <wp:positionH relativeFrom="column">
            <wp:posOffset>-124460</wp:posOffset>
          </wp:positionH>
          <wp:positionV relativeFrom="paragraph">
            <wp:posOffset>-225425</wp:posOffset>
          </wp:positionV>
          <wp:extent cx="987425" cy="191770"/>
          <wp:effectExtent l="0" t="0" r="3175" b="0"/>
          <wp:wrapNone/>
          <wp:docPr id="272522525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22850" t="42357" r="23877" b="43013"/>
                  <a:stretch>
                    <a:fillRect/>
                  </a:stretch>
                </pic:blipFill>
                <pic:spPr bwMode="auto">
                  <a:xfrm>
                    <a:off x="0" y="0"/>
                    <a:ext cx="987425" cy="19177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98035A"/>
    <w:multiLevelType w:val="hybridMultilevel"/>
    <w:tmpl w:val="A3B02D1E"/>
    <w:lvl w:ilvl="0" w:tplc="3E9A24C0">
      <w:start w:val="1"/>
      <w:numFmt w:val="bullet"/>
      <w:lvlText w:val="●"/>
      <w:lvlJc w:val="left"/>
      <w:pPr>
        <w:ind w:left="720" w:hanging="360"/>
      </w:pPr>
    </w:lvl>
    <w:lvl w:ilvl="1" w:tplc="26248F2A">
      <w:start w:val="1"/>
      <w:numFmt w:val="bullet"/>
      <w:lvlText w:val="○"/>
      <w:lvlJc w:val="left"/>
      <w:pPr>
        <w:ind w:left="1440" w:hanging="360"/>
      </w:pPr>
    </w:lvl>
    <w:lvl w:ilvl="2" w:tplc="D3C48D08">
      <w:start w:val="1"/>
      <w:numFmt w:val="bullet"/>
      <w:lvlText w:val="■"/>
      <w:lvlJc w:val="left"/>
      <w:pPr>
        <w:ind w:left="2160" w:hanging="360"/>
      </w:pPr>
    </w:lvl>
    <w:lvl w:ilvl="3" w:tplc="10A2765A">
      <w:start w:val="1"/>
      <w:numFmt w:val="bullet"/>
      <w:lvlText w:val="●"/>
      <w:lvlJc w:val="left"/>
      <w:pPr>
        <w:ind w:left="2880" w:hanging="360"/>
      </w:pPr>
    </w:lvl>
    <w:lvl w:ilvl="4" w:tplc="D11221CE">
      <w:start w:val="1"/>
      <w:numFmt w:val="bullet"/>
      <w:lvlText w:val="○"/>
      <w:lvlJc w:val="left"/>
      <w:pPr>
        <w:ind w:left="3600" w:hanging="360"/>
      </w:pPr>
    </w:lvl>
    <w:lvl w:ilvl="5" w:tplc="1C60DA0C">
      <w:start w:val="1"/>
      <w:numFmt w:val="bullet"/>
      <w:lvlText w:val="■"/>
      <w:lvlJc w:val="left"/>
      <w:pPr>
        <w:ind w:left="4320" w:hanging="360"/>
      </w:pPr>
    </w:lvl>
    <w:lvl w:ilvl="6" w:tplc="7E089488">
      <w:start w:val="1"/>
      <w:numFmt w:val="bullet"/>
      <w:lvlText w:val="●"/>
      <w:lvlJc w:val="left"/>
      <w:pPr>
        <w:ind w:left="5040" w:hanging="360"/>
      </w:pPr>
    </w:lvl>
    <w:lvl w:ilvl="7" w:tplc="B24CAB60">
      <w:start w:val="1"/>
      <w:numFmt w:val="bullet"/>
      <w:lvlText w:val="●"/>
      <w:lvlJc w:val="left"/>
      <w:pPr>
        <w:ind w:left="5760" w:hanging="360"/>
      </w:pPr>
    </w:lvl>
    <w:lvl w:ilvl="8" w:tplc="F72C0C3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154B1930"/>
    <w:multiLevelType w:val="hybridMultilevel"/>
    <w:tmpl w:val="EA8C88A2"/>
    <w:lvl w:ilvl="0" w:tplc="4B1E52F0">
      <w:start w:val="1"/>
      <w:numFmt w:val="decimal"/>
      <w:lvlText w:val="%1."/>
      <w:lvlJc w:val="left"/>
    </w:lvl>
    <w:lvl w:ilvl="1" w:tplc="4E78ACA2">
      <w:numFmt w:val="decimal"/>
      <w:lvlText w:val=""/>
      <w:lvlJc w:val="left"/>
    </w:lvl>
    <w:lvl w:ilvl="2" w:tplc="778A7640">
      <w:numFmt w:val="decimal"/>
      <w:lvlText w:val=""/>
      <w:lvlJc w:val="left"/>
    </w:lvl>
    <w:lvl w:ilvl="3" w:tplc="132AA32C">
      <w:numFmt w:val="decimal"/>
      <w:lvlText w:val=""/>
      <w:lvlJc w:val="left"/>
    </w:lvl>
    <w:lvl w:ilvl="4" w:tplc="52E0D9FA">
      <w:numFmt w:val="decimal"/>
      <w:lvlText w:val=""/>
      <w:lvlJc w:val="left"/>
    </w:lvl>
    <w:lvl w:ilvl="5" w:tplc="07E8AAC2">
      <w:numFmt w:val="decimal"/>
      <w:lvlText w:val=""/>
      <w:lvlJc w:val="left"/>
    </w:lvl>
    <w:lvl w:ilvl="6" w:tplc="66D6AC36">
      <w:numFmt w:val="decimal"/>
      <w:lvlText w:val=""/>
      <w:lvlJc w:val="left"/>
    </w:lvl>
    <w:lvl w:ilvl="7" w:tplc="04801E96">
      <w:numFmt w:val="decimal"/>
      <w:lvlText w:val=""/>
      <w:lvlJc w:val="left"/>
    </w:lvl>
    <w:lvl w:ilvl="8" w:tplc="D206B796">
      <w:numFmt w:val="decimal"/>
      <w:lvlText w:val=""/>
      <w:lvlJc w:val="left"/>
    </w:lvl>
  </w:abstractNum>
  <w:num w:numId="1" w16cid:durableId="11308968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33AE1"/>
    <w:rsid w:val="000B303D"/>
    <w:rsid w:val="001B0C25"/>
    <w:rsid w:val="002325F2"/>
    <w:rsid w:val="00286952"/>
    <w:rsid w:val="0034733B"/>
    <w:rsid w:val="003B7342"/>
    <w:rsid w:val="004137D6"/>
    <w:rsid w:val="00433AE1"/>
    <w:rsid w:val="00522430"/>
    <w:rsid w:val="005A6F39"/>
    <w:rsid w:val="00675692"/>
    <w:rsid w:val="00715928"/>
    <w:rsid w:val="007B736C"/>
    <w:rsid w:val="00865DA3"/>
    <w:rsid w:val="00880834"/>
    <w:rsid w:val="008B48AB"/>
    <w:rsid w:val="009045F7"/>
    <w:rsid w:val="00953DF2"/>
    <w:rsid w:val="00974D3F"/>
    <w:rsid w:val="00997218"/>
    <w:rsid w:val="009A32EF"/>
    <w:rsid w:val="00A20230"/>
    <w:rsid w:val="00A50870"/>
    <w:rsid w:val="00AD5A6C"/>
    <w:rsid w:val="00B44EDD"/>
    <w:rsid w:val="00C51BB8"/>
    <w:rsid w:val="00C84F50"/>
    <w:rsid w:val="00C96049"/>
    <w:rsid w:val="00E10D5A"/>
    <w:rsid w:val="00E25461"/>
    <w:rsid w:val="00EA74E3"/>
    <w:rsid w:val="00F12B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C6FC5D1"/>
  <w15:docId w15:val="{790255BA-E0AD-429B-827F-B589765C1B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hAnsi="Calibri"/>
      <w:sz w:val="22"/>
    </w:rPr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2325F2"/>
  </w:style>
  <w:style w:type="paragraph" w:styleId="Footer">
    <w:name w:val="footer"/>
    <w:basedOn w:val="Normal"/>
    <w:link w:val="FooterChar"/>
    <w:uiPriority w:val="99"/>
    <w:unhideWhenUsed/>
    <w:rsid w:val="002325F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325F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</TotalTime>
  <Pages>9</Pages>
  <Words>2723</Words>
  <Characters>15526</Characters>
  <Application>Microsoft Office Word</Application>
  <DocSecurity>0</DocSecurity>
  <Lines>129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PP-QC-AMVR-a02.1-001/2025</vt:lpstr>
    </vt:vector>
  </TitlesOfParts>
  <Company/>
  <LinksUpToDate>false</LinksUpToDate>
  <CharactersWithSpaces>18213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PP-QC-AMVR-a02.1-001/2025</dc:title>
  <dc:creator>Purely Plant GmbH</dc:creator>
  <cp:lastModifiedBy>Blagoj Nikolov</cp:lastModifiedBy>
  <cp:revision>22</cp:revision>
  <cp:lastPrinted>2026-06-18T13:51:00Z</cp:lastPrinted>
  <dcterms:created xsi:type="dcterms:W3CDTF">2026-06-18T08:25:00Z</dcterms:created>
  <dcterms:modified xsi:type="dcterms:W3CDTF">2026-06-18T13:52:00Z</dcterms:modified>
</cp:coreProperties>
</file>