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обезбедено,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securely,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претходното известување до Министерството за внатрешни работи и известувањето по транспортот до Министерството за здравство; и (г) следливост на секоја пратка до серијата, барањето и транспортниот настан.</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packaging, labelling and condition monitoring; (b) security and an unbroken chain of custody; (c) compliance with the national narcotic-control regulations, including prior notification to the Ministry of Interior Affairs and post-transport notification to the Ministry of Health; and (d) traceability of every consignment to its batch, request and transport event.</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договорна, овластена обезбедувачка компанија: (1) готов производ (сув цвет од канабис) и меѓупроизвод (ринфуз/мелена дрога)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authorised security company: (1) finished product (dried cannabis flower) and intermediate (bulk/milled herb)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регулаторните известувања, пакувањето и означувањето,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regulatory notifications, packaging and labelling, dispatch and chain of custody, in-transit control, receipt, reconciliation, post-transport notification, archiving and deviation management.</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сопствени возила на Пјурли Плант, на нови форми на производ (екстракти, готови дозирани форми) и на нови рути, преку контрола на промени, ревизија на оваа СОП и квалификација на рутата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Purely Plant's own vehicles, to new product forms (extracts, finished dosage forms) and to new lanes, through change control, revision of this SOP and qualification of the lane per QASOP_0XX before first use.</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3.0 ОДГОВОРНОСТИ</w:t>
      </w:r>
      <w:r>
        <w:rPr>
          <w:rFonts w:ascii="Calibri" w:hAnsi="Calibri"/>
          <w:b w:val="0"/>
          <w:i w:val="0"/>
          <w:color w:val="000000"/>
          <w:sz w:val="24"/>
        </w:rPr>
        <w:tab/>
      </w:r>
      <w:r>
        <w:rPr>
          <w:rFonts w:ascii="Calibri" w:hAnsi="Calibri"/>
          <w:b/>
          <w:i w:val="0"/>
          <w:color w:val="595959"/>
          <w:sz w:val="24"/>
        </w:rPr>
        <w:t>3.0 RESPONSIBILITIES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060"/>
        <w:gridCol w:w="1319"/>
        <w:gridCol w:w="510"/>
        <w:gridCol w:w="1417"/>
        <w:gridCol w:w="2107"/>
        <w:gridCol w:w="1417"/>
        <w:gridCol w:w="1122"/>
        <w:gridCol w:w="510"/>
      </w:tblGrid>
      <w:tr>
        <w:trPr>
          <w:cantSplit/>
          <w:tblHeader w:val="true"/>
        </w:trPr>
        <w:tc>
          <w:tcPr>
            <w:shd w:val="clear" w:color="auto" w:fill="D9E2F3"/>
            <w:tcW w:type="dxa" w:w="2060"/>
          </w:tcPr>
          <w:p>
            <w:pPr>
              <w:keepNext/>
            </w:pPr>
            <w:r/>
            <w:r>
              <w:rPr>
                <w:rFonts w:ascii="Calibri" w:hAnsi="Calibri"/>
                <w:b/>
                <w:i w:val="0"/>
                <w:color w:val="000000"/>
                <w:sz w:val="18"/>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1319"/>
          </w:tcPr>
          <w:p>
            <w:pPr>
              <w:keepNext/>
            </w:pPr>
            <w:r/>
            <w:r>
              <w:rPr>
                <w:rFonts w:ascii="Calibri" w:hAnsi="Calibri"/>
                <w:b/>
                <w:i w:val="0"/>
                <w:color w:val="000000"/>
                <w:sz w:val="18"/>
              </w:rPr>
              <w:t>Раководител КК</w:t>
            </w:r>
            <w:r>
              <w:rPr>
                <w:rFonts w:ascii="Calibri" w:hAnsi="Calibri"/>
                <w:b w:val="0"/>
                <w:i w:val="0"/>
                <w:color w:val="000000"/>
                <w:sz w:val="14"/>
              </w:rPr>
              <w:t xml:space="preserve"> | </w:t>
            </w:r>
            <w:r>
              <w:rPr>
                <w:rFonts w:ascii="Calibri" w:hAnsi="Calibri"/>
                <w:b/>
                <w:i w:val="0"/>
                <w:color w:val="000000"/>
                <w:sz w:val="14"/>
              </w:rPr>
              <w:t>QC Head</w:t>
            </w:r>
          </w:p>
        </w:tc>
        <w:tc>
          <w:tcPr>
            <w:shd w:val="clear" w:color="auto" w:fill="D9E2F3"/>
            <w:tcW w:type="dxa" w:w="510"/>
          </w:tcPr>
          <w:p>
            <w:pPr>
              <w:keepNext/>
            </w:pPr>
            <w:r/>
            <w:r>
              <w:rPr>
                <w:rFonts w:ascii="Calibri" w:hAnsi="Calibri"/>
                <w:b/>
                <w:i w:val="0"/>
                <w:color w:val="000000"/>
                <w:sz w:val="18"/>
              </w:rPr>
              <w:t>QA</w:t>
            </w:r>
            <w:r>
              <w:rPr>
                <w:rFonts w:ascii="Calibri" w:hAnsi="Calibri"/>
                <w:b/>
                <w:i w:val="0"/>
                <w:color w:val="000000"/>
                <w:sz w:val="14"/>
              </w:rPr>
            </w:r>
          </w:p>
        </w:tc>
        <w:tc>
          <w:tcPr>
            <w:shd w:val="clear" w:color="auto" w:fill="D9E2F3"/>
            <w:tcW w:type="dxa" w:w="1417"/>
          </w:tcPr>
          <w:p>
            <w:pPr>
              <w:keepNext/>
            </w:pPr>
            <w:r/>
            <w:r>
              <w:rPr>
                <w:rFonts w:ascii="Calibri" w:hAnsi="Calibri"/>
                <w:b/>
                <w:i w:val="0"/>
                <w:color w:val="000000"/>
                <w:sz w:val="18"/>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2107"/>
          </w:tcPr>
          <w:p>
            <w:pPr>
              <w:keepNext/>
            </w:pPr>
            <w:r/>
            <w:r>
              <w:rPr>
                <w:rFonts w:ascii="Calibri" w:hAnsi="Calibri"/>
                <w:b/>
                <w:i w:val="0"/>
                <w:color w:val="000000"/>
                <w:sz w:val="18"/>
              </w:rPr>
              <w:t>Магацин/Логистика</w:t>
            </w:r>
            <w:r>
              <w:rPr>
                <w:rFonts w:ascii="Calibri" w:hAnsi="Calibri"/>
                <w:b w:val="0"/>
                <w:i w:val="0"/>
                <w:color w:val="000000"/>
                <w:sz w:val="14"/>
              </w:rPr>
              <w:t xml:space="preserve"> | </w:t>
            </w:r>
            <w:r>
              <w:rPr>
                <w:rFonts w:ascii="Calibri" w:hAnsi="Calibri"/>
                <w:b/>
                <w:i w:val="0"/>
                <w:color w:val="000000"/>
                <w:sz w:val="14"/>
              </w:rPr>
              <w:t>Warehouse/Logistics</w:t>
            </w:r>
          </w:p>
        </w:tc>
        <w:tc>
          <w:tcPr>
            <w:shd w:val="clear" w:color="auto" w:fill="D9E2F3"/>
            <w:tcW w:type="dxa" w:w="1417"/>
          </w:tcPr>
          <w:p>
            <w:pPr>
              <w:keepNext/>
            </w:pPr>
            <w:r/>
            <w:r>
              <w:rPr>
                <w:rFonts w:ascii="Calibri" w:hAnsi="Calibri"/>
                <w:b/>
                <w:i w:val="0"/>
                <w:color w:val="000000"/>
                <w:sz w:val="18"/>
              </w:rPr>
              <w:t>Договорно обезбедување</w:t>
            </w:r>
            <w:r>
              <w:rPr>
                <w:rFonts w:ascii="Calibri" w:hAnsi="Calibri"/>
                <w:b w:val="0"/>
                <w:i w:val="0"/>
                <w:color w:val="000000"/>
                <w:sz w:val="14"/>
              </w:rPr>
              <w:t xml:space="preserve"> | </w:t>
            </w:r>
            <w:r>
              <w:rPr>
                <w:rFonts w:ascii="Calibri" w:hAnsi="Calibri"/>
                <w:b/>
                <w:i w:val="0"/>
                <w:color w:val="000000"/>
                <w:sz w:val="14"/>
              </w:rPr>
              <w:t>Contracted security</w:t>
            </w:r>
          </w:p>
        </w:tc>
        <w:tc>
          <w:tcPr>
            <w:shd w:val="clear" w:color="auto" w:fill="D9E2F3"/>
            <w:tcW w:type="dxa" w:w="1122"/>
          </w:tcPr>
          <w:p>
            <w:pPr>
              <w:keepNext/>
            </w:pPr>
            <w:r/>
            <w:r>
              <w:rPr>
                <w:rFonts w:ascii="Calibri" w:hAnsi="Calibri"/>
                <w:b/>
                <w:i w:val="0"/>
                <w:color w:val="000000"/>
                <w:sz w:val="18"/>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pPr>
              <w:keepNext/>
            </w:pPr>
            <w:r/>
            <w:r>
              <w:rPr>
                <w:rFonts w:ascii="Calibri" w:hAnsi="Calibri"/>
                <w:b/>
                <w:i w:val="0"/>
                <w:color w:val="000000"/>
                <w:sz w:val="18"/>
              </w:rPr>
              <w:t>QP</w:t>
            </w:r>
            <w:r>
              <w:rPr>
                <w:rFonts w:ascii="Calibri" w:hAnsi="Calibri"/>
                <w:b/>
                <w:i w:val="0"/>
                <w:color w:val="000000"/>
                <w:sz w:val="14"/>
              </w:rPr>
            </w:r>
          </w:p>
        </w:tc>
      </w:tr>
      <w:tr>
        <w:trPr>
          <w:cantSplit/>
        </w:trPr>
        <w:tc>
          <w:tcPr>
            <w:tcW w:type="dxa" w:w="2060"/>
          </w:tcPr>
          <w:p>
            <w:pPr>
              <w:keepNext/>
            </w:pPr>
            <w:r/>
            <w:r>
              <w:rPr>
                <w:rFonts w:ascii="Calibri" w:hAnsi="Calibri"/>
                <w:b w:val="0"/>
                <w:i w:val="0"/>
                <w:color w:val="000000"/>
                <w:sz w:val="18"/>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1319"/>
          </w:tcPr>
          <w:p>
            <w:pPr>
              <w:keepNext/>
            </w:pPr>
            <w:r/>
            <w:r>
              <w:rPr>
                <w:rFonts w:ascii="Calibri" w:hAnsi="Calibri"/>
                <w:b w:val="0"/>
                <w:i w:val="0"/>
                <w:color w:val="000000"/>
                <w:sz w:val="18"/>
              </w:rPr>
              <w:t>C</w:t>
            </w:r>
            <w:r>
              <w:rPr>
                <w:rFonts w:ascii="Calibri" w:hAnsi="Calibri"/>
                <w:b w:val="0"/>
                <w:i w:val="0"/>
                <w:color w:val="000000"/>
                <w:sz w:val="14"/>
              </w:rPr>
            </w:r>
          </w:p>
        </w:tc>
        <w:tc>
          <w:tcPr>
            <w:tcW w:type="dxa" w:w="510"/>
          </w:tcPr>
          <w:p>
            <w:pPr>
              <w:keepNext/>
            </w:pPr>
            <w:r/>
            <w:r>
              <w:rPr>
                <w:rFonts w:ascii="Calibri" w:hAnsi="Calibri"/>
                <w:b w:val="0"/>
                <w:i w:val="0"/>
                <w:color w:val="000000"/>
                <w:sz w:val="18"/>
              </w:rPr>
              <w:t>A</w:t>
            </w:r>
            <w:r>
              <w:rPr>
                <w:rFonts w:ascii="Calibri" w:hAnsi="Calibri"/>
                <w:b w:val="0"/>
                <w:i w:val="0"/>
                <w:color w:val="000000"/>
                <w:sz w:val="14"/>
              </w:rPr>
            </w:r>
          </w:p>
        </w:tc>
        <w:tc>
          <w:tcPr>
            <w:tcW w:type="dxa" w:w="1417"/>
          </w:tcPr>
          <w:p>
            <w:pPr>
              <w:keepNext/>
            </w:pPr>
            <w:r/>
            <w:r>
              <w:rPr>
                <w:rFonts w:ascii="Calibri" w:hAnsi="Calibri"/>
                <w:b w:val="0"/>
                <w:i w:val="0"/>
                <w:color w:val="000000"/>
                <w:sz w:val="18"/>
              </w:rPr>
              <w:t>R</w:t>
            </w:r>
            <w:r>
              <w:rPr>
                <w:rFonts w:ascii="Calibri" w:hAnsi="Calibri"/>
                <w:b w:val="0"/>
                <w:i w:val="0"/>
                <w:color w:val="000000"/>
                <w:sz w:val="14"/>
              </w:rPr>
            </w:r>
          </w:p>
        </w:tc>
        <w:tc>
          <w:tcPr>
            <w:tcW w:type="dxa" w:w="2107"/>
          </w:tcPr>
          <w:p>
            <w:pPr>
              <w:keepNext/>
            </w:pPr>
            <w:r/>
            <w:r>
              <w:rPr>
                <w:rFonts w:ascii="Calibri" w:hAnsi="Calibri"/>
                <w:b w:val="0"/>
                <w:i w:val="0"/>
                <w:color w:val="000000"/>
                <w:sz w:val="18"/>
              </w:rPr>
              <w:t>R</w:t>
            </w:r>
            <w:r>
              <w:rPr>
                <w:rFonts w:ascii="Calibri" w:hAnsi="Calibri"/>
                <w:b w:val="0"/>
                <w:i w:val="0"/>
                <w:color w:val="000000"/>
                <w:sz w:val="14"/>
              </w:rPr>
            </w:r>
          </w:p>
        </w:tc>
        <w:tc>
          <w:tcPr>
            <w:tcW w:type="dxa" w:w="1417"/>
          </w:tcPr>
          <w:p>
            <w:pPr>
              <w:keepNext/>
            </w:pPr>
            <w:r/>
            <w:r>
              <w:rPr>
                <w:rFonts w:ascii="Calibri" w:hAnsi="Calibri"/>
                <w:b w:val="0"/>
                <w:i w:val="0"/>
                <w:color w:val="000000"/>
                <w:sz w:val="18"/>
              </w:rPr>
              <w:t>I</w:t>
            </w:r>
            <w:r>
              <w:rPr>
                <w:rFonts w:ascii="Calibri" w:hAnsi="Calibri"/>
                <w:b w:val="0"/>
                <w:i w:val="0"/>
                <w:color w:val="000000"/>
                <w:sz w:val="14"/>
              </w:rPr>
            </w:r>
          </w:p>
        </w:tc>
        <w:tc>
          <w:tcPr>
            <w:tcW w:type="dxa" w:w="1122"/>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2060"/>
          </w:tcPr>
          <w:p>
            <w:pPr>
              <w:keepNext/>
            </w:pPr>
            <w:r/>
            <w:r>
              <w:rPr>
                <w:rFonts w:ascii="Calibri" w:hAnsi="Calibri"/>
                <w:b w:val="0"/>
                <w:i w:val="0"/>
                <w:color w:val="000000"/>
                <w:sz w:val="18"/>
              </w:rPr>
              <w:t>Известување до МВР</w:t>
            </w:r>
            <w:r>
              <w:rPr>
                <w:rFonts w:ascii="Calibri" w:hAnsi="Calibri"/>
                <w:b w:val="0"/>
                <w:i w:val="0"/>
                <w:color w:val="000000"/>
                <w:sz w:val="14"/>
              </w:rPr>
              <w:t xml:space="preserve"> | </w:t>
            </w:r>
            <w:r>
              <w:rPr>
                <w:rFonts w:ascii="Calibri" w:hAnsi="Calibri"/>
                <w:b w:val="0"/>
                <w:i w:val="0"/>
                <w:color w:val="000000"/>
                <w:sz w:val="14"/>
              </w:rPr>
              <w:t>MoIA notification</w:t>
            </w:r>
          </w:p>
        </w:tc>
        <w:tc>
          <w:tcPr>
            <w:tcW w:type="dxa" w:w="1319"/>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C</w:t>
            </w:r>
            <w:r>
              <w:rPr>
                <w:rFonts w:ascii="Calibri" w:hAnsi="Calibri"/>
                <w:b w:val="0"/>
                <w:i w:val="0"/>
                <w:color w:val="000000"/>
                <w:sz w:val="14"/>
              </w:rPr>
            </w:r>
          </w:p>
        </w:tc>
        <w:tc>
          <w:tcPr>
            <w:tcW w:type="dxa" w:w="1417"/>
          </w:tcPr>
          <w:p>
            <w:pPr>
              <w:keepNext/>
            </w:pPr>
            <w:r/>
            <w:r>
              <w:rPr>
                <w:rFonts w:ascii="Calibri" w:hAnsi="Calibri"/>
                <w:b w:val="0"/>
                <w:i w:val="0"/>
                <w:color w:val="000000"/>
                <w:sz w:val="18"/>
              </w:rPr>
              <w:t>A/R</w:t>
            </w:r>
            <w:r>
              <w:rPr>
                <w:rFonts w:ascii="Calibri" w:hAnsi="Calibri"/>
                <w:b w:val="0"/>
                <w:i w:val="0"/>
                <w:color w:val="000000"/>
                <w:sz w:val="14"/>
              </w:rPr>
            </w:r>
          </w:p>
        </w:tc>
        <w:tc>
          <w:tcPr>
            <w:tcW w:type="dxa" w:w="2107"/>
          </w:tcPr>
          <w:p>
            <w:pPr>
              <w:keepNext/>
            </w:pPr>
            <w:r/>
            <w:r>
              <w:rPr>
                <w:rFonts w:ascii="Calibri" w:hAnsi="Calibri"/>
                <w:b w:val="0"/>
                <w:i w:val="0"/>
                <w:color w:val="000000"/>
                <w:sz w:val="18"/>
              </w:rPr>
              <w:t>C</w:t>
            </w:r>
            <w:r>
              <w:rPr>
                <w:rFonts w:ascii="Calibri" w:hAnsi="Calibri"/>
                <w:b w:val="0"/>
                <w:i w:val="0"/>
                <w:color w:val="000000"/>
                <w:sz w:val="14"/>
              </w:rPr>
            </w:r>
          </w:p>
        </w:tc>
        <w:tc>
          <w:tcPr>
            <w:tcW w:type="dxa" w:w="1417"/>
          </w:tcPr>
          <w:p>
            <w:pPr>
              <w:keepNext/>
            </w:pPr>
            <w:r/>
            <w:r>
              <w:rPr>
                <w:rFonts w:ascii="Calibri" w:hAnsi="Calibri"/>
                <w:b w:val="0"/>
                <w:i w:val="0"/>
                <w:color w:val="000000"/>
                <w:sz w:val="18"/>
              </w:rPr>
              <w:t>I</w:t>
            </w:r>
            <w:r>
              <w:rPr>
                <w:rFonts w:ascii="Calibri" w:hAnsi="Calibri"/>
                <w:b w:val="0"/>
                <w:i w:val="0"/>
                <w:color w:val="000000"/>
                <w:sz w:val="14"/>
              </w:rPr>
            </w:r>
          </w:p>
        </w:tc>
        <w:tc>
          <w:tcPr>
            <w:tcW w:type="dxa" w:w="1122"/>
          </w:tcPr>
          <w:p>
            <w:pPr>
              <w:keepNext/>
            </w:pPr>
            <w:r/>
            <w:r>
              <w:rPr>
                <w:rFonts w:ascii="Calibri" w:hAnsi="Calibri"/>
                <w:b w:val="0"/>
                <w:i w:val="0"/>
                <w:color w:val="000000"/>
                <w:sz w:val="18"/>
              </w:rPr>
              <w:t>—</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Известување до обезбедувањето</w:t>
            </w:r>
            <w:r>
              <w:rPr>
                <w:rFonts w:ascii="Calibri" w:hAnsi="Calibri"/>
                <w:b w:val="0"/>
                <w:i w:val="0"/>
                <w:color w:val="000000"/>
                <w:sz w:val="14"/>
              </w:rPr>
              <w:t xml:space="preserve"> | </w:t>
            </w:r>
            <w:r>
              <w:rPr>
                <w:rFonts w:ascii="Calibri" w:hAnsi="Calibri"/>
                <w:b w:val="0"/>
                <w:i w:val="0"/>
                <w:color w:val="000000"/>
                <w:sz w:val="14"/>
              </w:rPr>
              <w:t>Security company notification</w:t>
            </w:r>
          </w:p>
        </w:tc>
        <w:tc>
          <w:tcPr>
            <w:tcW w:type="dxa" w:w="1319"/>
          </w:tcPr>
          <w:p>
            <w:r/>
            <w:r>
              <w:rPr>
                <w:rFonts w:ascii="Calibri" w:hAnsi="Calibri"/>
                <w:b w:val="0"/>
                <w:i w:val="0"/>
                <w:color w:val="000000"/>
                <w:sz w:val="18"/>
              </w:rPr>
              <w:t>I</w:t>
            </w:r>
            <w:r>
              <w:rPr>
                <w:rFonts w:ascii="Calibri" w:hAnsi="Calibri"/>
                <w:b w:val="0"/>
                <w:i w:val="0"/>
                <w:color w:val="000000"/>
                <w:sz w:val="14"/>
              </w:rPr>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A/R</w:t>
            </w:r>
            <w:r>
              <w:rPr>
                <w:rFonts w:ascii="Calibri" w:hAnsi="Calibri"/>
                <w:b w:val="0"/>
                <w:i w:val="0"/>
                <w:color w:val="000000"/>
                <w:sz w:val="14"/>
              </w:rPr>
            </w:r>
          </w:p>
        </w:tc>
        <w:tc>
          <w:tcPr>
            <w:tcW w:type="dxa" w:w="2107"/>
          </w:tcPr>
          <w:p>
            <w:r/>
            <w:r>
              <w:rPr>
                <w:rFonts w:ascii="Calibri" w:hAnsi="Calibri"/>
                <w:b w:val="0"/>
                <w:i w:val="0"/>
                <w:color w:val="000000"/>
                <w:sz w:val="18"/>
              </w:rPr>
              <w:t>C</w:t>
            </w:r>
            <w:r>
              <w:rPr>
                <w:rFonts w:ascii="Calibri" w:hAnsi="Calibri"/>
                <w:b w:val="0"/>
                <w:i w:val="0"/>
                <w:color w:val="000000"/>
                <w:sz w:val="14"/>
              </w:rPr>
            </w:r>
          </w:p>
        </w:tc>
        <w:tc>
          <w:tcPr>
            <w:tcW w:type="dxa" w:w="1417"/>
          </w:tcPr>
          <w:p>
            <w:r/>
            <w:r>
              <w:rPr>
                <w:rFonts w:ascii="Calibri" w:hAnsi="Calibri"/>
                <w:b w:val="0"/>
                <w:i w:val="0"/>
                <w:color w:val="000000"/>
                <w:sz w:val="18"/>
              </w:rPr>
              <w:t>R</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Пакување и означување</w:t>
            </w:r>
            <w:r>
              <w:rPr>
                <w:rFonts w:ascii="Calibri" w:hAnsi="Calibri"/>
                <w:b w:val="0"/>
                <w:i w:val="0"/>
                <w:color w:val="000000"/>
                <w:sz w:val="14"/>
              </w:rPr>
              <w:t xml:space="preserve"> | </w:t>
            </w:r>
            <w:r>
              <w:rPr>
                <w:rFonts w:ascii="Calibri" w:hAnsi="Calibri"/>
                <w:b w:val="0"/>
                <w:i w:val="0"/>
                <w:color w:val="000000"/>
                <w:sz w:val="14"/>
              </w:rPr>
              <w:t>Packaging and labelling</w:t>
            </w:r>
          </w:p>
        </w:tc>
        <w:tc>
          <w:tcPr>
            <w:tcW w:type="dxa" w:w="1319"/>
          </w:tcPr>
          <w:p>
            <w:r/>
            <w:r>
              <w:rPr>
                <w:rFonts w:ascii="Calibri" w:hAnsi="Calibri"/>
                <w:b w:val="0"/>
                <w:i w:val="0"/>
                <w:color w:val="000000"/>
                <w:sz w:val="18"/>
              </w:rPr>
              <w:t>C</w:t>
            </w:r>
            <w:r>
              <w:rPr>
                <w:rFonts w:ascii="Calibri" w:hAnsi="Calibri"/>
                <w:b w:val="0"/>
                <w:i w:val="0"/>
                <w:color w:val="000000"/>
                <w:sz w:val="14"/>
              </w:rPr>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C</w:t>
            </w:r>
            <w:r>
              <w:rPr>
                <w:rFonts w:ascii="Calibri" w:hAnsi="Calibri"/>
                <w:b w:val="0"/>
                <w:i w:val="0"/>
                <w:color w:val="000000"/>
                <w:sz w:val="14"/>
              </w:rPr>
            </w:r>
          </w:p>
        </w:tc>
        <w:tc>
          <w:tcPr>
            <w:tcW w:type="dxa" w:w="2107"/>
          </w:tcPr>
          <w:p>
            <w:r/>
            <w:r>
              <w:rPr>
                <w:rFonts w:ascii="Calibri" w:hAnsi="Calibri"/>
                <w:b w:val="0"/>
                <w:i w:val="0"/>
                <w:color w:val="000000"/>
                <w:sz w:val="18"/>
              </w:rPr>
              <w:t>A/R</w:t>
            </w:r>
            <w:r>
              <w:rPr>
                <w:rFonts w:ascii="Calibri" w:hAnsi="Calibri"/>
                <w:b w:val="0"/>
                <w:i w:val="0"/>
                <w:color w:val="000000"/>
                <w:sz w:val="14"/>
              </w:rPr>
            </w:r>
          </w:p>
        </w:tc>
        <w:tc>
          <w:tcPr>
            <w:tcW w:type="dxa" w:w="1417"/>
          </w:tcPr>
          <w:p>
            <w:r/>
            <w:r>
              <w:rPr>
                <w:rFonts w:ascii="Calibri" w:hAnsi="Calibri"/>
                <w:b w:val="0"/>
                <w:i w:val="0"/>
                <w:color w:val="000000"/>
                <w:sz w:val="18"/>
              </w:rPr>
              <w:t>—</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1319"/>
          </w:tcPr>
          <w:p>
            <w:r/>
            <w:r>
              <w:rPr>
                <w:rFonts w:ascii="Calibri" w:hAnsi="Calibri"/>
                <w:b w:val="0"/>
                <w:i w:val="0"/>
                <w:color w:val="000000"/>
                <w:sz w:val="18"/>
              </w:rPr>
              <w:t>C</w:t>
            </w:r>
            <w:r>
              <w:rPr>
                <w:rFonts w:ascii="Calibri" w:hAnsi="Calibri"/>
                <w:b w:val="0"/>
                <w:i w:val="0"/>
                <w:color w:val="000000"/>
                <w:sz w:val="14"/>
              </w:rPr>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A</w:t>
            </w:r>
            <w:r>
              <w:rPr>
                <w:rFonts w:ascii="Calibri" w:hAnsi="Calibri"/>
                <w:b w:val="0"/>
                <w:i w:val="0"/>
                <w:color w:val="000000"/>
                <w:sz w:val="14"/>
              </w:rPr>
            </w:r>
          </w:p>
        </w:tc>
        <w:tc>
          <w:tcPr>
            <w:tcW w:type="dxa" w:w="2107"/>
          </w:tcPr>
          <w:p>
            <w:r/>
            <w:r>
              <w:rPr>
                <w:rFonts w:ascii="Calibri" w:hAnsi="Calibri"/>
                <w:b w:val="0"/>
                <w:i w:val="0"/>
                <w:color w:val="000000"/>
                <w:sz w:val="18"/>
              </w:rPr>
              <w:t>R</w:t>
            </w:r>
            <w:r>
              <w:rPr>
                <w:rFonts w:ascii="Calibri" w:hAnsi="Calibri"/>
                <w:b w:val="0"/>
                <w:i w:val="0"/>
                <w:color w:val="000000"/>
                <w:sz w:val="14"/>
              </w:rPr>
            </w:r>
          </w:p>
        </w:tc>
        <w:tc>
          <w:tcPr>
            <w:tcW w:type="dxa" w:w="1417"/>
          </w:tcPr>
          <w:p>
            <w:r/>
            <w:r>
              <w:rPr>
                <w:rFonts w:ascii="Calibri" w:hAnsi="Calibri"/>
                <w:b w:val="0"/>
                <w:i w:val="0"/>
                <w:color w:val="000000"/>
                <w:sz w:val="18"/>
              </w:rPr>
              <w:t>R</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1319"/>
          </w:tcPr>
          <w:p>
            <w:r/>
            <w:r>
              <w:rPr>
                <w:rFonts w:ascii="Calibri" w:hAnsi="Calibri"/>
                <w:b w:val="0"/>
                <w:i w:val="0"/>
                <w:color w:val="000000"/>
                <w:sz w:val="18"/>
              </w:rPr>
              <w:t>I</w:t>
            </w:r>
            <w:r>
              <w:rPr>
                <w:rFonts w:ascii="Calibri" w:hAnsi="Calibri"/>
                <w:b w:val="0"/>
                <w:i w:val="0"/>
                <w:color w:val="000000"/>
                <w:sz w:val="14"/>
              </w:rPr>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A</w:t>
            </w:r>
            <w:r>
              <w:rPr>
                <w:rFonts w:ascii="Calibri" w:hAnsi="Calibri"/>
                <w:b w:val="0"/>
                <w:i w:val="0"/>
                <w:color w:val="000000"/>
                <w:sz w:val="14"/>
              </w:rPr>
            </w:r>
          </w:p>
        </w:tc>
        <w:tc>
          <w:tcPr>
            <w:tcW w:type="dxa" w:w="2107"/>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R</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1319"/>
          </w:tcPr>
          <w:p>
            <w:r/>
            <w:r>
              <w:rPr>
                <w:rFonts w:ascii="Calibri" w:hAnsi="Calibri"/>
                <w:b w:val="0"/>
                <w:i w:val="0"/>
                <w:color w:val="000000"/>
                <w:sz w:val="18"/>
              </w:rPr>
              <w:t>C</w:t>
            </w:r>
            <w:r>
              <w:rPr>
                <w:rFonts w:ascii="Calibri" w:hAnsi="Calibri"/>
                <w:b w:val="0"/>
                <w:i w:val="0"/>
                <w:color w:val="000000"/>
                <w:sz w:val="14"/>
              </w:rPr>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1417"/>
          </w:tcPr>
          <w:p>
            <w:r/>
            <w:r>
              <w:rPr>
                <w:rFonts w:ascii="Calibri" w:hAnsi="Calibri"/>
                <w:b w:val="0"/>
                <w:i w:val="0"/>
                <w:color w:val="000000"/>
                <w:sz w:val="18"/>
              </w:rPr>
              <w:t>C</w:t>
            </w:r>
            <w:r>
              <w:rPr>
                <w:rFonts w:ascii="Calibri" w:hAnsi="Calibri"/>
                <w:b w:val="0"/>
                <w:i w:val="0"/>
                <w:color w:val="000000"/>
                <w:sz w:val="14"/>
              </w:rPr>
            </w:r>
          </w:p>
        </w:tc>
        <w:tc>
          <w:tcPr>
            <w:tcW w:type="dxa" w:w="2107"/>
          </w:tcPr>
          <w:p>
            <w:r/>
            <w:r>
              <w:rPr>
                <w:rFonts w:ascii="Calibri" w:hAnsi="Calibri"/>
                <w:b w:val="0"/>
                <w:i w:val="0"/>
                <w:color w:val="000000"/>
                <w:sz w:val="18"/>
              </w:rPr>
              <w:t>R</w:t>
            </w:r>
            <w:r>
              <w:rPr>
                <w:rFonts w:ascii="Calibri" w:hAnsi="Calibri"/>
                <w:b w:val="0"/>
                <w:i w:val="0"/>
                <w:color w:val="000000"/>
                <w:sz w:val="14"/>
              </w:rPr>
            </w:r>
          </w:p>
        </w:tc>
        <w:tc>
          <w:tcPr>
            <w:tcW w:type="dxa" w:w="1417"/>
          </w:tcPr>
          <w:p>
            <w:r/>
            <w:r>
              <w:rPr>
                <w:rFonts w:ascii="Calibri" w:hAnsi="Calibri"/>
                <w:b w:val="0"/>
                <w:i w:val="0"/>
                <w:color w:val="000000"/>
                <w:sz w:val="18"/>
              </w:rPr>
              <w:t>R</w:t>
            </w:r>
            <w:r>
              <w:rPr>
                <w:rFonts w:ascii="Calibri" w:hAnsi="Calibri"/>
                <w:b w:val="0"/>
                <w:i w:val="0"/>
                <w:color w:val="000000"/>
                <w:sz w:val="14"/>
              </w:rPr>
            </w:r>
          </w:p>
        </w:tc>
        <w:tc>
          <w:tcPr>
            <w:tcW w:type="dxa" w:w="1122"/>
          </w:tcPr>
          <w:p>
            <w:r/>
            <w:r>
              <w:rPr>
                <w:rFonts w:ascii="Calibri" w:hAnsi="Calibri"/>
                <w:b w:val="0"/>
                <w:i w:val="0"/>
                <w:color w:val="000000"/>
                <w:sz w:val="18"/>
              </w:rPr>
              <w:t>A/R</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1319"/>
          </w:tcPr>
          <w:p>
            <w:r/>
            <w:r>
              <w:rPr>
                <w:rFonts w:ascii="Calibri" w:hAnsi="Calibri"/>
                <w:b w:val="0"/>
                <w:i w:val="0"/>
                <w:color w:val="000000"/>
                <w:sz w:val="18"/>
              </w:rPr>
              <w:t>I</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1417"/>
          </w:tcPr>
          <w:p>
            <w:r/>
            <w:r>
              <w:rPr>
                <w:rFonts w:ascii="Calibri" w:hAnsi="Calibri"/>
                <w:b w:val="0"/>
                <w:i w:val="0"/>
                <w:color w:val="000000"/>
                <w:sz w:val="18"/>
              </w:rPr>
              <w:t>R</w:t>
            </w:r>
            <w:r>
              <w:rPr>
                <w:rFonts w:ascii="Calibri" w:hAnsi="Calibri"/>
                <w:b w:val="0"/>
                <w:i w:val="0"/>
                <w:color w:val="000000"/>
                <w:sz w:val="14"/>
              </w:rPr>
            </w:r>
          </w:p>
        </w:tc>
        <w:tc>
          <w:tcPr>
            <w:tcW w:type="dxa" w:w="2107"/>
          </w:tcPr>
          <w:p>
            <w:r/>
            <w:r>
              <w:rPr>
                <w:rFonts w:ascii="Calibri" w:hAnsi="Calibri"/>
                <w:b w:val="0"/>
                <w:i w:val="0"/>
                <w:color w:val="000000"/>
                <w:sz w:val="18"/>
              </w:rPr>
              <w:t>C</w:t>
            </w:r>
            <w:r>
              <w:rPr>
                <w:rFonts w:ascii="Calibri" w:hAnsi="Calibri"/>
                <w:b w:val="0"/>
                <w:i w:val="0"/>
                <w:color w:val="000000"/>
                <w:sz w:val="14"/>
              </w:rPr>
            </w:r>
          </w:p>
        </w:tc>
        <w:tc>
          <w:tcPr>
            <w:tcW w:type="dxa" w:w="1417"/>
          </w:tcPr>
          <w:p>
            <w:r/>
            <w:r>
              <w:rPr>
                <w:rFonts w:ascii="Calibri" w:hAnsi="Calibri"/>
                <w:b w:val="0"/>
                <w:i w:val="0"/>
                <w:color w:val="000000"/>
                <w:sz w:val="18"/>
              </w:rPr>
              <w:t>—</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A</w:t>
            </w:r>
            <w:r>
              <w:rPr>
                <w:rFonts w:ascii="Calibri" w:hAnsi="Calibri"/>
                <w:b w:val="0"/>
                <w:i w:val="0"/>
                <w:color w:val="000000"/>
                <w:sz w:val="14"/>
              </w:rPr>
            </w:r>
          </w:p>
        </w:tc>
      </w:tr>
      <w:tr>
        <w:trPr>
          <w:cantSplit/>
        </w:trPr>
        <w:tc>
          <w:tcPr>
            <w:tcW w:type="dxa" w:w="2060"/>
          </w:tcPr>
          <w:p>
            <w:r/>
            <w:r>
              <w:rPr>
                <w:rFonts w:ascii="Calibri" w:hAnsi="Calibri"/>
                <w:b w:val="0"/>
                <w:i w:val="0"/>
                <w:color w:val="000000"/>
                <w:sz w:val="18"/>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1319"/>
          </w:tcPr>
          <w:p>
            <w:r/>
            <w:r>
              <w:rPr>
                <w:rFonts w:ascii="Calibri" w:hAnsi="Calibri"/>
                <w:b w:val="0"/>
                <w:i w:val="0"/>
                <w:color w:val="000000"/>
                <w:sz w:val="18"/>
              </w:rPr>
              <w:t>C</w:t>
            </w:r>
            <w:r>
              <w:rPr>
                <w:rFonts w:ascii="Calibri" w:hAnsi="Calibri"/>
                <w:b w:val="0"/>
                <w:i w:val="0"/>
                <w:color w:val="000000"/>
                <w:sz w:val="14"/>
              </w:rPr>
            </w:r>
          </w:p>
        </w:tc>
        <w:tc>
          <w:tcPr>
            <w:tcW w:type="dxa" w:w="510"/>
          </w:tcPr>
          <w:p>
            <w:r/>
            <w:r>
              <w:rPr>
                <w:rFonts w:ascii="Calibri" w:hAnsi="Calibri"/>
                <w:b w:val="0"/>
                <w:i w:val="0"/>
                <w:color w:val="000000"/>
                <w:sz w:val="18"/>
              </w:rPr>
              <w:t>A/R</w:t>
            </w:r>
            <w:r>
              <w:rPr>
                <w:rFonts w:ascii="Calibri" w:hAnsi="Calibri"/>
                <w:b w:val="0"/>
                <w:i w:val="0"/>
                <w:color w:val="000000"/>
                <w:sz w:val="14"/>
              </w:rPr>
            </w:r>
          </w:p>
        </w:tc>
        <w:tc>
          <w:tcPr>
            <w:tcW w:type="dxa" w:w="1417"/>
          </w:tcPr>
          <w:p>
            <w:r/>
            <w:r>
              <w:rPr>
                <w:rFonts w:ascii="Calibri" w:hAnsi="Calibri"/>
                <w:b w:val="0"/>
                <w:i w:val="0"/>
                <w:color w:val="000000"/>
                <w:sz w:val="18"/>
              </w:rPr>
              <w:t>C</w:t>
            </w:r>
            <w:r>
              <w:rPr>
                <w:rFonts w:ascii="Calibri" w:hAnsi="Calibri"/>
                <w:b w:val="0"/>
                <w:i w:val="0"/>
                <w:color w:val="000000"/>
                <w:sz w:val="14"/>
              </w:rPr>
            </w:r>
          </w:p>
        </w:tc>
        <w:tc>
          <w:tcPr>
            <w:tcW w:type="dxa" w:w="2107"/>
          </w:tcPr>
          <w:p>
            <w:r/>
            <w:r>
              <w:rPr>
                <w:rFonts w:ascii="Calibri" w:hAnsi="Calibri"/>
                <w:b w:val="0"/>
                <w:i w:val="0"/>
                <w:color w:val="000000"/>
                <w:sz w:val="18"/>
              </w:rPr>
              <w:t>C</w:t>
            </w:r>
            <w:r>
              <w:rPr>
                <w:rFonts w:ascii="Calibri" w:hAnsi="Calibri"/>
                <w:b w:val="0"/>
                <w:i w:val="0"/>
                <w:color w:val="000000"/>
                <w:sz w:val="14"/>
              </w:rPr>
            </w:r>
          </w:p>
        </w:tc>
        <w:tc>
          <w:tcPr>
            <w:tcW w:type="dxa" w:w="1417"/>
          </w:tcPr>
          <w:p>
            <w:r/>
            <w:r>
              <w:rPr>
                <w:rFonts w:ascii="Calibri" w:hAnsi="Calibri"/>
                <w:b w:val="0"/>
                <w:i w:val="0"/>
                <w:color w:val="000000"/>
                <w:sz w:val="18"/>
              </w:rPr>
              <w:t>—</w:t>
            </w:r>
            <w:r>
              <w:rPr>
                <w:rFonts w:ascii="Calibri" w:hAnsi="Calibri"/>
                <w:b w:val="0"/>
                <w:i w:val="0"/>
                <w:color w:val="000000"/>
                <w:sz w:val="14"/>
              </w:rPr>
            </w:r>
          </w:p>
        </w:tc>
        <w:tc>
          <w:tcPr>
            <w:tcW w:type="dxa" w:w="112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r>
    </w:tbl>
    <w:p>
      <w:pPr>
        <w:keepNext/>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пакувањето, означувањето,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packaging, labelling,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ги изготвува и поднесува известувањата (WHSOP_003_A02, WHSOP_003_A03), ја проверува потврдата од МВР пред да ја одобри отпремата, го следи GPS во реално време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notifications (WHSOP_003_A02, WHSOP_003_A03), verifies the MoIA confirmation before authorising dispatch, monitors GPS in real time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го одобрува TRA (WHSOP_003_A01),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approves the TRA (WHSOP_003_A01),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Договорна обезбедувачка компанија: обезбедува квалификувано возило со GPS, двочлена посада со овластување за транспорт на опојни дроги, ја извршува рутата, го одржува ланецот на надзор и ги враќа документите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security company: provides a qualified GPS-equipped vehicle and a two-person crew authorised for narcotic transport, executes the route, maintains the chain of custody and returns the documents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ја проверува пломбата, бројот и идентитетот пред потпис, ги презема податоците од логерот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seal, count and identity before signing, retrieves the logger data and signs the chain of custody.</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 Закон за приватно обезбедување (овластување на обезбедувачката компанија).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 Law on Private Security (authorisation of the security company).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Annex 7 (растителни лекови);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Annex 7 (herbal medicinal products);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пратки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consignments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GPS;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GPS; RH; MKT; CAPA; GMP; GDP; QA; QC; QP; SOP; CoA.</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(б) пријавено до МВР и потврдено пред отпремата; (в) извршено од договорна обезбедувачка компанија со важечки Технички договор за квалитет; и (г) следено со калибриран логер за температура и влага.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(b) notified to the MoIA and confirmed before dispatch; (c) performed by a contracted security company holding a valid Technical Quality Agreement; and (d) monitored with a calibrated temperature and humidity logger. No movement starts if any of these conditions is not met.</w:t>
            </w:r>
          </w:p>
        </w:tc>
      </w:tr>
    </w:tbl>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496"/>
        <w:gridCol w:w="1939"/>
        <w:gridCol w:w="1036"/>
        <w:gridCol w:w="2496"/>
        <w:gridCol w:w="2496"/>
      </w:tblGrid>
      <w:tr>
        <w:trPr>
          <w:cantSplit/>
          <w:tblHeader w:val="true"/>
        </w:trPr>
        <w:tc>
          <w:tcPr>
            <w:shd w:val="clear" w:color="auto" w:fill="D9E2F3"/>
            <w:tcW w:type="dxa" w:w="2496"/>
          </w:tcPr>
          <w:p>
            <w:pPr>
              <w:keepNext/>
            </w:pPr>
            <w:r/>
            <w:r>
              <w:rPr>
                <w:rFonts w:ascii="Calibri" w:hAnsi="Calibri"/>
                <w:b/>
                <w:i w:val="0"/>
                <w:color w:val="000000"/>
                <w:sz w:val="20"/>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39"/>
          </w:tcPr>
          <w:p>
            <w:pPr>
              <w:keepNext/>
            </w:pPr>
            <w:r/>
            <w:r>
              <w:rPr>
                <w:rFonts w:ascii="Calibri" w:hAnsi="Calibri"/>
                <w:b/>
                <w:i w:val="0"/>
                <w:color w:val="000000"/>
                <w:sz w:val="20"/>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1036"/>
          </w:tcPr>
          <w:p>
            <w:pPr>
              <w:keepNext/>
            </w:pPr>
            <w:r/>
            <w:r>
              <w:rPr>
                <w:rFonts w:ascii="Calibri" w:hAnsi="Calibri"/>
                <w:b/>
                <w:i w:val="0"/>
                <w:color w:val="000000"/>
                <w:sz w:val="20"/>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496"/>
          </w:tcPr>
          <w:p>
            <w:pPr>
              <w:keepNext/>
            </w:pPr>
            <w:r/>
            <w:r>
              <w:rPr>
                <w:rFonts w:ascii="Calibri" w:hAnsi="Calibri"/>
                <w:b/>
                <w:i w:val="0"/>
                <w:color w:val="000000"/>
                <w:sz w:val="20"/>
              </w:rPr>
              <w:t>Логер</w:t>
            </w:r>
            <w:r>
              <w:rPr>
                <w:rFonts w:ascii="Calibri" w:hAnsi="Calibri"/>
                <w:b w:val="0"/>
                <w:i w:val="0"/>
                <w:color w:val="000000"/>
                <w:sz w:val="14"/>
              </w:rPr>
              <w:t xml:space="preserve"> | </w:t>
            </w:r>
            <w:r>
              <w:rPr>
                <w:rFonts w:ascii="Calibri" w:hAnsi="Calibri"/>
                <w:b/>
                <w:i w:val="0"/>
                <w:color w:val="000000"/>
                <w:sz w:val="14"/>
              </w:rPr>
              <w:t>Logger</w:t>
            </w:r>
          </w:p>
        </w:tc>
        <w:tc>
          <w:tcPr>
            <w:shd w:val="clear" w:color="auto" w:fill="D9E2F3"/>
            <w:tcW w:type="dxa" w:w="2496"/>
          </w:tcPr>
          <w:p>
            <w:pPr>
              <w:keepNext/>
            </w:pPr>
            <w:r/>
            <w:r>
              <w:rPr>
                <w:rFonts w:ascii="Calibri" w:hAnsi="Calibri"/>
                <w:b/>
                <w:i w:val="0"/>
                <w:color w:val="000000"/>
                <w:sz w:val="20"/>
              </w:rPr>
              <w:t>Пакување</w:t>
            </w:r>
            <w:r>
              <w:rPr>
                <w:rFonts w:ascii="Calibri" w:hAnsi="Calibri"/>
                <w:b w:val="0"/>
                <w:i w:val="0"/>
                <w:color w:val="000000"/>
                <w:sz w:val="14"/>
              </w:rPr>
              <w:t xml:space="preserve"> | </w:t>
            </w:r>
            <w:r>
              <w:rPr>
                <w:rFonts w:ascii="Calibri" w:hAnsi="Calibri"/>
                <w:b/>
                <w:i w:val="0"/>
                <w:color w:val="000000"/>
                <w:sz w:val="14"/>
              </w:rPr>
              <w:t>Packaging</w:t>
            </w:r>
          </w:p>
        </w:tc>
      </w:tr>
      <w:tr>
        <w:trPr>
          <w:cantSplit/>
        </w:trPr>
        <w:tc>
          <w:tcPr>
            <w:tcW w:type="dxa" w:w="2496"/>
          </w:tcPr>
          <w:p>
            <w:pPr>
              <w:keepNext/>
            </w:pPr>
            <w:r/>
            <w:r>
              <w:rPr>
                <w:rFonts w:ascii="Calibri" w:hAnsi="Calibri"/>
                <w:b w:val="0"/>
                <w:i w:val="0"/>
                <w:color w:val="000000"/>
                <w:sz w:val="20"/>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по пратка, интервал 5 мин</w:t>
            </w:r>
            <w:r>
              <w:rPr>
                <w:rFonts w:ascii="Calibri" w:hAnsi="Calibri"/>
                <w:b w:val="0"/>
                <w:i w:val="0"/>
                <w:color w:val="000000"/>
                <w:sz w:val="14"/>
              </w:rPr>
              <w:t xml:space="preserve"> | </w:t>
            </w:r>
            <w:r>
              <w:rPr>
                <w:rFonts w:ascii="Calibri" w:hAnsi="Calibri"/>
                <w:b w:val="0"/>
                <w:i w:val="0"/>
                <w:color w:val="000000"/>
                <w:sz w:val="14"/>
              </w:rPr>
              <w:t>1 per consignment, 5 min interval</w:t>
            </w:r>
          </w:p>
        </w:tc>
        <w:tc>
          <w:tcPr>
            <w:tcW w:type="dxa" w:w="2496"/>
          </w:tcPr>
          <w:p>
            <w:pPr>
              <w:keepNext/>
            </w:pPr>
            <w:r/>
            <w:r>
              <w:rPr>
                <w:rFonts w:ascii="Calibri" w:hAnsi="Calibri"/>
                <w:b w:val="0"/>
                <w:i w:val="0"/>
                <w:color w:val="000000"/>
                <w:sz w:val="20"/>
              </w:rPr>
              <w:t>запечатени примарни кеси, кутија со UBID</w:t>
            </w:r>
            <w:r>
              <w:rPr>
                <w:rFonts w:ascii="Calibri" w:hAnsi="Calibri"/>
                <w:b w:val="0"/>
                <w:i w:val="0"/>
                <w:color w:val="000000"/>
                <w:sz w:val="14"/>
              </w:rPr>
              <w:t xml:space="preserve"> | </w:t>
            </w:r>
            <w:r>
              <w:rPr>
                <w:rFonts w:ascii="Calibri" w:hAnsi="Calibri"/>
                <w:b w:val="0"/>
                <w:i w:val="0"/>
                <w:color w:val="000000"/>
                <w:sz w:val="14"/>
              </w:rPr>
              <w:t>sealed primary bags, UBID box</w:t>
            </w:r>
          </w:p>
        </w:tc>
      </w:tr>
      <w:tr>
        <w:trPr>
          <w:cantSplit/>
        </w:trPr>
        <w:tc>
          <w:tcPr>
            <w:tcW w:type="dxa" w:w="2496"/>
          </w:tcPr>
          <w:p>
            <w:pPr>
              <w:keepNext/>
            </w:pPr>
            <w:r/>
            <w:r>
              <w:rPr>
                <w:rFonts w:ascii="Calibri" w:hAnsi="Calibri"/>
                <w:b w:val="0"/>
                <w:i w:val="0"/>
                <w:color w:val="000000"/>
                <w:sz w:val="20"/>
              </w:rPr>
              <w:t>Меѓупроизвод</w:t>
            </w:r>
            <w:r>
              <w:rPr>
                <w:rFonts w:ascii="Calibri" w:hAnsi="Calibri"/>
                <w:b w:val="0"/>
                <w:i w:val="0"/>
                <w:color w:val="000000"/>
                <w:sz w:val="14"/>
              </w:rPr>
              <w:t xml:space="preserve"> | </w:t>
            </w:r>
            <w:r>
              <w:rPr>
                <w:rFonts w:ascii="Calibri" w:hAnsi="Calibri"/>
                <w:b w:val="0"/>
                <w:i w:val="0"/>
                <w:color w:val="000000"/>
                <w:sz w:val="14"/>
              </w:rPr>
              <w:t>Intermediate</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496"/>
          </w:tcPr>
          <w:p>
            <w:pPr>
              <w:keepNext/>
            </w:pPr>
            <w:r/>
            <w:r>
              <w:rPr>
                <w:rFonts w:ascii="Calibri" w:hAnsi="Calibri"/>
                <w:b w:val="0"/>
                <w:i w:val="0"/>
                <w:color w:val="000000"/>
                <w:sz w:val="20"/>
              </w:rPr>
              <w:t>двојна кеса, цврст контејнер</w:t>
            </w:r>
            <w:r>
              <w:rPr>
                <w:rFonts w:ascii="Calibri" w:hAnsi="Calibri"/>
                <w:b w:val="0"/>
                <w:i w:val="0"/>
                <w:color w:val="000000"/>
                <w:sz w:val="14"/>
              </w:rPr>
              <w:t xml:space="preserve"> | </w:t>
            </w:r>
            <w:r>
              <w:rPr>
                <w:rFonts w:ascii="Calibri" w:hAnsi="Calibri"/>
                <w:b w:val="0"/>
                <w:i w:val="0"/>
                <w:color w:val="000000"/>
                <w:sz w:val="14"/>
              </w:rPr>
              <w:t>double bag, rigid container</w:t>
            </w:r>
          </w:p>
        </w:tc>
      </w:tr>
      <w:tr>
        <w:trPr>
          <w:cantSplit/>
        </w:trPr>
        <w:tc>
          <w:tcPr>
            <w:tcW w:type="dxa" w:w="2496"/>
          </w:tcPr>
          <w:p>
            <w:pPr>
              <w:keepNext/>
            </w:pPr>
            <w:r/>
            <w:r>
              <w:rPr>
                <w:rFonts w:ascii="Calibri" w:hAnsi="Calibri"/>
                <w:b w:val="0"/>
                <w:i w:val="0"/>
                <w:color w:val="000000"/>
                <w:sz w:val="20"/>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39"/>
          </w:tcPr>
          <w:p>
            <w:pPr>
              <w:keepNext/>
            </w:pPr>
            <w:r/>
            <w:r>
              <w:rPr>
                <w:rFonts w:ascii="Calibri" w:hAnsi="Calibri"/>
                <w:b w:val="0"/>
                <w:i w:val="0"/>
                <w:color w:val="000000"/>
                <w:sz w:val="20"/>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1036"/>
          </w:tcPr>
          <w:p>
            <w:pPr>
              <w:keepNext/>
            </w:pPr>
            <w:r/>
            <w:r>
              <w:rPr>
                <w:rFonts w:ascii="Calibri" w:hAnsi="Calibri"/>
                <w:b w:val="0"/>
                <w:i w:val="0"/>
                <w:color w:val="000000"/>
                <w:sz w:val="20"/>
              </w:rPr>
              <w:t>—</w:t>
            </w:r>
            <w:r>
              <w:rPr>
                <w:rFonts w:ascii="Calibri" w:hAnsi="Calibri"/>
                <w:b w:val="0"/>
                <w:i w:val="0"/>
                <w:color w:val="000000"/>
                <w:sz w:val="14"/>
              </w:rPr>
            </w:r>
          </w:p>
        </w:tc>
        <w:tc>
          <w:tcPr>
            <w:tcW w:type="dxa" w:w="2496"/>
          </w:tcPr>
          <w:p>
            <w:pPr>
              <w:keepNext/>
            </w:pPr>
            <w:r/>
            <w:r>
              <w:rPr>
                <w:rFonts w:ascii="Calibri" w:hAnsi="Calibri"/>
                <w:b w:val="0"/>
                <w:i w:val="0"/>
                <w:color w:val="000000"/>
                <w:sz w:val="20"/>
              </w:rPr>
              <w:t>2 (производ + амбиент)</w:t>
            </w:r>
            <w:r>
              <w:rPr>
                <w:rFonts w:ascii="Calibri" w:hAnsi="Calibri"/>
                <w:b w:val="0"/>
                <w:i w:val="0"/>
                <w:color w:val="000000"/>
                <w:sz w:val="14"/>
              </w:rPr>
              <w:t xml:space="preserve"> | </w:t>
            </w:r>
            <w:r>
              <w:rPr>
                <w:rFonts w:ascii="Calibri" w:hAnsi="Calibri"/>
                <w:b w:val="0"/>
                <w:i w:val="0"/>
                <w:color w:val="000000"/>
                <w:sz w:val="14"/>
              </w:rPr>
              <w:t>2 (product + ambient)</w:t>
            </w:r>
          </w:p>
        </w:tc>
        <w:tc>
          <w:tcPr>
            <w:tcW w:type="dxa" w:w="2496"/>
          </w:tcPr>
          <w:p>
            <w:pPr>
              <w:keepNext/>
            </w:pPr>
            <w:r/>
            <w:r>
              <w:rPr>
                <w:rFonts w:ascii="Calibri" w:hAnsi="Calibri"/>
                <w:b w:val="0"/>
                <w:i w:val="0"/>
                <w:color w:val="000000"/>
                <w:sz w:val="20"/>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rPr>
          <w:cantSplit/>
        </w:trPr>
        <w:tc>
          <w:tcPr>
            <w:tcW w:type="dxa" w:w="2496"/>
          </w:tcPr>
          <w:p>
            <w:pPr>
              <w:keepNext/>
            </w:pPr>
            <w:r/>
            <w:r>
              <w:rPr>
                <w:rFonts w:ascii="Calibri" w:hAnsi="Calibri"/>
                <w:b w:val="0"/>
                <w:i w:val="0"/>
                <w:color w:val="000000"/>
                <w:sz w:val="20"/>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39"/>
          </w:tcPr>
          <w:p>
            <w:pPr>
              <w:keepNext/>
            </w:pPr>
            <w:r/>
            <w:r>
              <w:rPr>
                <w:rFonts w:ascii="Calibri" w:hAnsi="Calibri"/>
                <w:b w:val="0"/>
                <w:i w:val="0"/>
                <w:color w:val="000000"/>
                <w:sz w:val="20"/>
              </w:rPr>
              <w:t>5–20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496"/>
          </w:tcPr>
          <w:p>
            <w:pPr>
              <w:keepNext/>
            </w:pPr>
            <w:r/>
            <w:r>
              <w:rPr>
                <w:rFonts w:ascii="Calibri" w:hAnsi="Calibri"/>
                <w:b w:val="0"/>
                <w:i w:val="0"/>
                <w:color w:val="000000"/>
                <w:sz w:val="20"/>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rPr>
          <w:cantSplit/>
        </w:trPr>
        <w:tc>
          <w:tcPr>
            <w:tcW w:type="dxa" w:w="2496"/>
          </w:tcPr>
          <w:p>
            <w:r/>
            <w:r>
              <w:rPr>
                <w:rFonts w:ascii="Calibri" w:hAnsi="Calibri"/>
                <w:b w:val="0"/>
                <w:i w:val="0"/>
                <w:color w:val="000000"/>
                <w:sz w:val="20"/>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39"/>
          </w:tcPr>
          <w:p>
            <w:r/>
            <w:r>
              <w:rPr>
                <w:rFonts w:ascii="Calibri" w:hAnsi="Calibri"/>
                <w:b w:val="0"/>
                <w:i w:val="0"/>
                <w:color w:val="000000"/>
                <w:sz w:val="20"/>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1036"/>
          </w:tcPr>
          <w:p>
            <w:r/>
            <w:r>
              <w:rPr>
                <w:rFonts w:ascii="Calibri" w:hAnsi="Calibri"/>
                <w:b w:val="0"/>
                <w:i w:val="0"/>
                <w:color w:val="000000"/>
                <w:sz w:val="20"/>
              </w:rPr>
              <w:t>—</w:t>
            </w:r>
            <w:r>
              <w:rPr>
                <w:rFonts w:ascii="Calibri" w:hAnsi="Calibri"/>
                <w:b w:val="0"/>
                <w:i w:val="0"/>
                <w:color w:val="000000"/>
                <w:sz w:val="14"/>
              </w:rPr>
            </w:r>
          </w:p>
        </w:tc>
        <w:tc>
          <w:tcPr>
            <w:tcW w:type="dxa" w:w="2496"/>
          </w:tcPr>
          <w:p>
            <w:r/>
            <w:r>
              <w:rPr>
                <w:rFonts w:ascii="Calibri" w:hAnsi="Calibri"/>
                <w:b w:val="0"/>
                <w:i w:val="0"/>
                <w:color w:val="000000"/>
                <w:sz w:val="20"/>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496"/>
          </w:tcPr>
          <w:p>
            <w:r/>
            <w:r>
              <w:rPr>
                <w:rFonts w:ascii="Calibri" w:hAnsi="Calibri"/>
                <w:b w:val="0"/>
                <w:i w:val="0"/>
                <w:color w:val="000000"/>
                <w:sz w:val="20"/>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p>
      <w:pPr>
        <w:keepNext/>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product, Cultivation for propagation material) submits the request to Security at least 5 working days before the planned date, stating: type and quantity of material (net mass in grams),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Ако рутата не е квалификувана,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If the lane is not qualified,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на патот, сезонска температура, времетраење, стабилност на материјалот, точки на запирање и мерки за намалување на ризикот. QA го одобрува TRA пред известувањата.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route security, seasonal temperature, duration, material stability, stopping points and mitigation measures. QA approves the TRA before the notifications.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Фаза 2 — Регулаторни известувања (најмалку 24 часа пред отпремата)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Stage 2 — Regulatory notifications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Известувањето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контејнери, превозник, регистарски број на возилото, возачи и опис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MoIA Notification (WHSOP_003_A02) with: Purely Plant details and licence number, UTID, departure date/time and expected arrival, dispatch and receipt addresses, purpose, total net quantity (g), number of containers, carrier, vehicle registration, drivers and route description.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Известувањето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notification is submitted at least 24 hours before departure (in person with stamp — preferred, registered mail with return receipt, or official e-mail where accepted). Written MoIA confirmation (stamp or letter) is MANDATORY before dispatch; if it is not received, dispatch is postponed and the QP is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6.3.3 Истовремено се поднесува Известувањето до договорната обезбедувачка компанија (WHSOP_003_A03); компанијата писмено ги потврдува возилото, GPS-уредот, посадата и времето на преземање.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6.3.3 At the same time the Notification to the contracted security company (WHSOP_003_A03) is submitted; the company confirms the vehicle, GPS unit, crew and pickup time in writing.</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Фаза 3 — Подготовка, пакување и означување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Stage 3 — Preparation, packaging and labelling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(производ), со двојна проверка од две лица (идентитет, серија, нето маса, број на контејнери); двете лица потпишуваат во WHSOP_003_A04.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(product), with two-person verification (identity, batch, net mass, number of containers); both persons sign in WHSOP_003_A04.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Готов производ и меѓупроизвод: запечатени примарни кеси во кутии означени со UBID (WHT 003), пломба по кутија и товарна пломба на просторот за товар. Другите материјали се пакуваат како што е наведено во матрицата на услови (6.1).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Finished product and intermediate: sealed primary bags in UBID-labelled boxes (WHT 003), one seal per box and a cargo seal on the load space. Other materials are packed as stated in the condition matrix (6.1).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Логерот се активира, се проверува (интервал 5 мин, аларми на границите од 6.1, важечка калибрација) и се поставува во геометрискиот центар на товарот, без допир со ладилни елементи; серискиот број, датумот на калибрација и броевите на пломбите се запишуваат во WHSOP_003_A04.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The logger is activated, checked (5 min interval, alarms at the limits in 6.1, valid calibration) and placed in the geometric centre of the load, not touching any coolant; the serial number, calibration date and seal numbers are recorded in WHSOP_003_A04.</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 ознака на терцијарниот контејнер: примач и испраќач со контакт, UTID (бар-код/QR), услови на чување, „ПРАТКА ПОД КОНТРОЛА — САМО ОВЛАСТЕН ТРАНСПОРТ“ и број за итни случаи 24/7. Надворешната ознака не го наведува содржаното во поширока смисла од потребното за испорака.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External label of the tertiary container: consignee and consignor with contact, UTID (barcode/QR), storage conditions, "CONTROLLED CONSIGNMENT — AUTHORISED TRANSPORT ONLY" and a 24/7 emergency number. The external label does not describe the contents beyond what delivery requires.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потврда од МВР, потврда од обезбедувањето, одобрен TRA, рута QUALIFIED, пакување и ознаки, пломби, логер, документи, идентитет на возачите и возилото, работа на GPS и на климатизацијата.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MoIA confirmation, security company confirmation, approved TRA, lane QUALIFIED, packaging and labels, seals, logger, documents, identity of drivers and vehicle, GPS and climate-control operation.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се проверува: регистарски број според A03, чист и заклучлив товарен простор, климатизација поставена на опсегот од 6.1 и претходно кондиционирана најмалку 30 минути, GPS тестиран со диспечерот. Посадата се брифира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vehicle is checked: registration as per A03, clean and lockable load space, climate control set to the range in 6.1 and pre-conditioned for at least 30 minutes, GPS tested with the dispatcher. The crew is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Товарот се обезбедува против поместување; се фотографира товарот и пломбата. Точка на предавање 1 (Пјурли Плант → возач) се потпишува во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load is secured against movement; the load and seal are photographed. Transfer point 1 (Purely Plant → driver) is signed in WHSOP_003_A04; the Head of Security authorises dispatch and records the departure time.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Посадата ја следи одобрената рута без отстапување, не го остава возилото без надзор, застанува само на места одобрени во TRA и не ја открива содржината. Принудно отстапување (затворен пат, итност)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crew follows the approved route without deviation, never leaves the vehicle unattended, stops only at points approved in the TRA and does not disclose the contents. Any forced deviation (road closure, emergency) is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Сектор Обезбедување го следи GPS во реално време и евидентира контролни јавувања: поаѓање, средина на рутата (ако е над 2 часа), 15–30 мин пред пристигнување, пристигнување. По завршување се генерира GPS извештај за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Security monitors GPS in real time and records check-in calls: departure, mid-route (if over 2 hours), 15–30 min before arrival, arrival. On completion a GPS route report is generated.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(температурна екскурзија, оштетена пломба, дефект, сообраќајна незгода, доцнење над 2 часа, безбедносен инцидент) се пријавуваат во рок од 15 минути по синџирот: диспечер → Обезбедување Пјурли Плант → QA → QP (при критичен инцидент; полиција/112 при кражба или незгода). Контејнерот не се отвора.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(temperature excursion, damaged seal, breakdown, traffic accident, delay over 2 hours, security incident) are reported within 15 minutes along the chain: dispatcher → Purely Plant Security → QA → QP (for critical incidents; police/112 for theft or accident). The container is not opened. The incident is recorded in WHSOP_003_A04 and a deviation is opened (QAS-05-002).</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возачот и возилото, надворешна состојба, пломба (цела, бројот одговара), преглед на логерот, број и идентитет на контејнерите и бруто маса при прием.</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driver and vehicle, external condition, seal (intact, number matches), logger review, number and identity of containers and gross mass on receipt.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Ако пломбата е оштетена или бројот не одговара, пратката НЕ се прифаќа: се фотографира, се известува QA на Пјурли Плант и се чека диспозиција. При екскурзија или разлика во бројот/масата, пратката може да се прими „со резерва“ само по одлука на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If the seal is damaged or the number does not match, the consignment is NOT accepted: it is photographed, Purely Plant QA is notified and disposition is awaited. On an excursion or a count/mass discrepancy, the consignment may be received "with reservation" only on a QA decision.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Transfer point 2 (driver → consignee) is signed and stamped in WHSOP_003_A04 with the receipt status: ACCEPTED / ACCEPTED WITH RESERVATION / REJECTED.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посадата ги враќа: потпишаниот A04, логерот или неговите податоци, фотографиите и скршените пломби. Обезбедување генерира GPS извештај и го доставува досието до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crew returns: the signed A04, the logger or its data, the photographs and the broken seals. Security generates the GPS report and submits the file to QA.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испратена нето маса наспроти примена маса по контејнер; разлика над вагата на мерење на примачот (според нејзината прецизност)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dispatched net mass against received mass per container; any difference beyond the consignee's weighing precision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логерот се додаваат во трендот на рутата (QASOP_0XX, периодичен преглед).</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logger data are added to the lane trend (QASOP_0XX, periodic review).</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GPS извештај, извештај од логерот,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GPS report, logger report, photographs and deviations. Retention: at least 5 years or 1 year after batch expiry, whichever is longer (EU GMP Part I §4.11).</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доцнење на известувањето до МЗ), безбедносно (пломба, рута, инцидент), за интегритет (екскурзија, оштетување, губење) или документациско.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late MoH notification), security (seal, route, incident), integrity (excursion, damage, loss) or documentary.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(Логистика, Обезбедување,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Договорната компанија ја обучува посадата според Техничкиот договор за квалитет и доставува доказ.</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personnel (Logistics, Security, QC, QA) are trained on this SOP and its annexes before the effective date and at every revision, with documented records (HR-01-006); refresher training at least every 2 years. The contracted company trains its crew per the Technical Quality Agreement and provides evidence.</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1826"/>
        <w:gridCol w:w="4320"/>
        <w:gridCol w:w="4320"/>
      </w:tblGrid>
      <w:tr>
        <w:trPr>
          <w:cantSplit/>
          <w:tblHeader w:val="true"/>
        </w:trPr>
        <w:tc>
          <w:tcPr>
            <w:shd w:val="clear" w:color="auto" w:fill="D9E2F3"/>
            <w:tcW w:type="dxa" w:w="1826"/>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4320"/>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4320"/>
          </w:tcPr>
          <w:p>
            <w:pPr>
              <w:keepNext/>
            </w:pPr>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rPr>
          <w:cantSplit/>
        </w:trPr>
        <w:tc>
          <w:tcPr>
            <w:tcW w:type="dxa" w:w="1826"/>
          </w:tcPr>
          <w:p>
            <w:pPr>
              <w:keepNext/>
            </w:pPr>
            <w:r/>
            <w:r>
              <w:rPr>
                <w:rFonts w:ascii="Calibri" w:hAnsi="Calibri"/>
                <w:b w:val="0"/>
                <w:i w:val="0"/>
                <w:color w:val="000000"/>
                <w:sz w:val="22"/>
              </w:rPr>
              <w:t>WHSOP_003_A01</w:t>
            </w:r>
            <w:r>
              <w:rPr>
                <w:rFonts w:ascii="Calibri" w:hAnsi="Calibri"/>
                <w:b w:val="0"/>
                <w:i w:val="0"/>
                <w:color w:val="000000"/>
                <w:sz w:val="14"/>
              </w:rPr>
            </w:r>
          </w:p>
        </w:tc>
        <w:tc>
          <w:tcPr>
            <w:tcW w:type="dxa" w:w="4320"/>
          </w:tcPr>
          <w:p>
            <w:pPr>
              <w:keepNext/>
            </w:pPr>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4320"/>
          </w:tcPr>
          <w:p>
            <w:pPr>
              <w:keepNext/>
            </w:pPr>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rPr>
          <w:cantSplit/>
        </w:trPr>
        <w:tc>
          <w:tcPr>
            <w:tcW w:type="dxa" w:w="1826"/>
          </w:tcPr>
          <w:p>
            <w:pPr>
              <w:keepNext/>
            </w:pPr>
            <w:r/>
            <w:r>
              <w:rPr>
                <w:rFonts w:ascii="Calibri" w:hAnsi="Calibri"/>
                <w:b w:val="0"/>
                <w:i w:val="0"/>
                <w:color w:val="000000"/>
                <w:sz w:val="22"/>
              </w:rPr>
              <w:t>WHSOP_003_A02</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до Министерството за внатрешни работи</w:t>
            </w:r>
            <w:r>
              <w:rPr>
                <w:rFonts w:ascii="Calibri" w:hAnsi="Calibri"/>
                <w:b w:val="0"/>
                <w:i w:val="0"/>
                <w:color w:val="000000"/>
                <w:sz w:val="14"/>
              </w:rPr>
              <w:t xml:space="preserve"> | </w:t>
            </w:r>
            <w:r>
              <w:rPr>
                <w:rFonts w:ascii="Calibri" w:hAnsi="Calibri"/>
                <w:b w:val="0"/>
                <w:i w:val="0"/>
                <w:color w:val="000000"/>
                <w:sz w:val="14"/>
              </w:rPr>
              <w:t>Notification to the Ministry of Interior Affairs</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WHSOP_003_A03</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до договорната обезбедувачка компанија</w:t>
            </w:r>
            <w:r>
              <w:rPr>
                <w:rFonts w:ascii="Calibri" w:hAnsi="Calibri"/>
                <w:b w:val="0"/>
                <w:i w:val="0"/>
                <w:color w:val="000000"/>
                <w:sz w:val="14"/>
              </w:rPr>
              <w:t xml:space="preserve"> | </w:t>
            </w:r>
            <w:r>
              <w:rPr>
                <w:rFonts w:ascii="Calibri" w:hAnsi="Calibri"/>
                <w:b w:val="0"/>
                <w:i w:val="0"/>
                <w:color w:val="000000"/>
                <w:sz w:val="14"/>
              </w:rPr>
              <w:t>Notification to the contracted security company</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WHSOP_003_A04</w:t>
            </w:r>
            <w:r>
              <w:rPr>
                <w:rFonts w:ascii="Calibri" w:hAnsi="Calibri"/>
                <w:b w:val="0"/>
                <w:i w:val="0"/>
                <w:color w:val="000000"/>
                <w:sz w:val="14"/>
              </w:rPr>
            </w:r>
          </w:p>
        </w:tc>
        <w:tc>
          <w:tcPr>
            <w:tcW w:type="dxa" w:w="4320"/>
          </w:tcPr>
          <w:p>
            <w:pPr>
              <w:keepNext/>
            </w:pPr>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4320"/>
          </w:tcPr>
          <w:p>
            <w:pPr>
              <w:keepNext/>
            </w:pPr>
            <w:r/>
            <w:r>
              <w:rPr>
                <w:rFonts w:ascii="Calibri" w:hAnsi="Calibri"/>
                <w:b w:val="0"/>
                <w:i w:val="0"/>
                <w:color w:val="000000"/>
                <w:sz w:val="22"/>
              </w:rPr>
              <w:t>Логистика, посада, примач</w:t>
            </w:r>
            <w:r>
              <w:rPr>
                <w:rFonts w:ascii="Calibri" w:hAnsi="Calibri"/>
                <w:b w:val="0"/>
                <w:i w:val="0"/>
                <w:color w:val="000000"/>
                <w:sz w:val="14"/>
              </w:rPr>
              <w:t xml:space="preserve"> | </w:t>
            </w:r>
            <w:r>
              <w:rPr>
                <w:rFonts w:ascii="Calibri" w:hAnsi="Calibri"/>
                <w:b w:val="0"/>
                <w:i w:val="0"/>
                <w:color w:val="000000"/>
                <w:sz w:val="14"/>
              </w:rPr>
              <w:t>Logistics, crew, consignee</w:t>
            </w:r>
          </w:p>
        </w:tc>
      </w:tr>
      <w:tr>
        <w:trPr>
          <w:cantSplit/>
        </w:trPr>
        <w:tc>
          <w:tcPr>
            <w:tcW w:type="dxa" w:w="1826"/>
          </w:tcPr>
          <w:p>
            <w:pPr>
              <w:keepNext/>
            </w:pPr>
            <w:r/>
            <w:r>
              <w:rPr>
                <w:rFonts w:ascii="Calibri" w:hAnsi="Calibri"/>
                <w:b w:val="0"/>
                <w:i w:val="0"/>
                <w:color w:val="000000"/>
                <w:sz w:val="22"/>
              </w:rPr>
              <w:t>WHSOP_003_A05</w:t>
            </w:r>
            <w:r>
              <w:rPr>
                <w:rFonts w:ascii="Calibri" w:hAnsi="Calibri"/>
                <w:b w:val="0"/>
                <w:i w:val="0"/>
                <w:color w:val="000000"/>
                <w:sz w:val="14"/>
              </w:rPr>
            </w:r>
          </w:p>
        </w:tc>
        <w:tc>
          <w:tcPr>
            <w:tcW w:type="dxa" w:w="4320"/>
          </w:tcPr>
          <w:p>
            <w:pPr>
              <w:keepNext/>
            </w:pPr>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4320"/>
          </w:tcPr>
          <w:p>
            <w:pPr>
              <w:keepNext/>
            </w:pPr>
            <w:r/>
            <w:r>
              <w:rPr>
                <w:rFonts w:ascii="Calibri" w:hAnsi="Calibri"/>
                <w:b w:val="0"/>
                <w:i w:val="0"/>
                <w:color w:val="000000"/>
                <w:sz w:val="22"/>
              </w:rPr>
              <w:t>Обезбедување, примач</w:t>
            </w:r>
            <w:r>
              <w:rPr>
                <w:rFonts w:ascii="Calibri" w:hAnsi="Calibri"/>
                <w:b w:val="0"/>
                <w:i w:val="0"/>
                <w:color w:val="000000"/>
                <w:sz w:val="14"/>
              </w:rPr>
              <w:t xml:space="preserve"> | </w:t>
            </w:r>
            <w:r>
              <w:rPr>
                <w:rFonts w:ascii="Calibri" w:hAnsi="Calibri"/>
                <w:b w:val="0"/>
                <w:i w:val="0"/>
                <w:color w:val="000000"/>
                <w:sz w:val="14"/>
              </w:rPr>
              <w:t>Security, consignee</w:t>
            </w:r>
          </w:p>
        </w:tc>
      </w:tr>
      <w:tr>
        <w:trPr>
          <w:cantSplit/>
        </w:trPr>
        <w:tc>
          <w:tcPr>
            <w:tcW w:type="dxa" w:w="1826"/>
          </w:tcPr>
          <w:p>
            <w:pPr>
              <w:keepNext/>
            </w:pPr>
            <w:r/>
            <w:r>
              <w:rPr>
                <w:rFonts w:ascii="Calibri" w:hAnsi="Calibri"/>
                <w:b w:val="0"/>
                <w:i w:val="0"/>
                <w:color w:val="000000"/>
                <w:sz w:val="22"/>
              </w:rPr>
              <w:t>WHSOP_003_A06</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4320"/>
          </w:tcPr>
          <w:p>
            <w:pPr>
              <w:keepNext/>
            </w:pPr>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rPr>
          <w:cantSplit/>
        </w:trPr>
        <w:tc>
          <w:tcPr>
            <w:tcW w:type="dxa" w:w="1826"/>
          </w:tcPr>
          <w:p>
            <w:r/>
            <w:r>
              <w:rPr>
                <w:rFonts w:ascii="Calibri" w:hAnsi="Calibri"/>
                <w:b w:val="0"/>
                <w:i w:val="0"/>
                <w:color w:val="000000"/>
                <w:sz w:val="22"/>
              </w:rPr>
              <w:t>WHSOP_003_A07</w:t>
            </w:r>
            <w:r>
              <w:rPr>
                <w:rFonts w:ascii="Calibri" w:hAnsi="Calibri"/>
                <w:b w:val="0"/>
                <w:i w:val="0"/>
                <w:color w:val="000000"/>
                <w:sz w:val="14"/>
              </w:rPr>
            </w:r>
          </w:p>
        </w:tc>
        <w:tc>
          <w:tcPr>
            <w:tcW w:type="dxa" w:w="4320"/>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4320"/>
          </w:tcPr>
          <w:p>
            <w:r/>
            <w:r>
              <w:rPr>
                <w:rFonts w:ascii="Calibri" w:hAnsi="Calibri"/>
                <w:b w:val="0"/>
                <w:i w:val="0"/>
                <w:color w:val="000000"/>
                <w:sz w:val="22"/>
              </w:rPr>
              <w:t>QA</w:t>
            </w:r>
            <w:r>
              <w:rPr>
                <w:rFonts w:ascii="Calibri" w:hAnsi="Calibri"/>
                <w:b w:val="0"/>
                <w:i w:val="0"/>
                <w:color w:val="000000"/>
                <w:sz w:val="14"/>
              </w:rPr>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4301"/>
        <w:gridCol w:w="6165"/>
      </w:tblGrid>
      <w:tr>
        <w:trPr>
          <w:cantSplit/>
          <w:tblHeader w:val="true"/>
        </w:trPr>
        <w:tc>
          <w:tcPr>
            <w:shd w:val="clear" w:color="auto" w:fill="D9E2F3"/>
            <w:tcW w:type="dxa" w:w="4301"/>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6165"/>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4301"/>
          </w:tcPr>
          <w:p>
            <w:pPr>
              <w:keepNext/>
            </w:pPr>
            <w:r/>
            <w:r>
              <w:rPr>
                <w:rFonts w:ascii="Calibri" w:hAnsi="Calibri"/>
                <w:b w:val="0"/>
                <w:i w:val="0"/>
                <w:color w:val="000000"/>
                <w:sz w:val="22"/>
              </w:rPr>
              <w:t>QASOP_0XX</w:t>
            </w:r>
            <w:r>
              <w:rPr>
                <w:rFonts w:ascii="Calibri" w:hAnsi="Calibri"/>
                <w:b w:val="0"/>
                <w:i w:val="0"/>
                <w:color w:val="000000"/>
                <w:sz w:val="14"/>
              </w:rPr>
            </w:r>
          </w:p>
        </w:tc>
        <w:tc>
          <w:tcPr>
            <w:tcW w:type="dxa" w:w="6165"/>
          </w:tcPr>
          <w:p>
            <w:pPr>
              <w:keepNext/>
            </w:pPr>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rPr>
          <w:cantSplit/>
        </w:trPr>
        <w:tc>
          <w:tcPr>
            <w:tcW w:type="dxa" w:w="4301"/>
          </w:tcPr>
          <w:p>
            <w:pPr>
              <w:keepNext/>
            </w:pPr>
            <w:r/>
            <w:r>
              <w:rPr>
                <w:rFonts w:ascii="Calibri" w:hAnsi="Calibri"/>
                <w:b w:val="0"/>
                <w:i w:val="0"/>
                <w:color w:val="000000"/>
                <w:sz w:val="22"/>
              </w:rPr>
              <w:t>WHSOP_002</w:t>
            </w:r>
            <w:r>
              <w:rPr>
                <w:rFonts w:ascii="Calibri" w:hAnsi="Calibri"/>
                <w:b w:val="0"/>
                <w:i w:val="0"/>
                <w:color w:val="000000"/>
                <w:sz w:val="14"/>
              </w:rPr>
            </w:r>
          </w:p>
        </w:tc>
        <w:tc>
          <w:tcPr>
            <w:tcW w:type="dxa" w:w="6165"/>
          </w:tcPr>
          <w:p>
            <w:pPr>
              <w:keepNext/>
            </w:pPr>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rPr>
          <w:cantSplit/>
        </w:trPr>
        <w:tc>
          <w:tcPr>
            <w:tcW w:type="dxa" w:w="4301"/>
          </w:tcPr>
          <w:p>
            <w:r/>
            <w:r>
              <w:rPr>
                <w:rFonts w:ascii="Calibri" w:hAnsi="Calibri"/>
                <w:b w:val="0"/>
                <w:i w:val="0"/>
                <w:color w:val="000000"/>
                <w:sz w:val="22"/>
              </w:rPr>
              <w:t>WHSOP 001</w:t>
            </w:r>
            <w:r>
              <w:rPr>
                <w:rFonts w:ascii="Calibri" w:hAnsi="Calibri"/>
                <w:b w:val="0"/>
                <w:i w:val="0"/>
                <w:color w:val="000000"/>
                <w:sz w:val="14"/>
              </w:rPr>
            </w:r>
          </w:p>
        </w:tc>
        <w:tc>
          <w:tcPr>
            <w:tcW w:type="dxa" w:w="6165"/>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rPr>
          <w:cantSplit/>
        </w:trPr>
        <w:tc>
          <w:tcPr>
            <w:tcW w:type="dxa" w:w="4301"/>
          </w:tcPr>
          <w:p>
            <w:r/>
            <w:r>
              <w:rPr>
                <w:rFonts w:ascii="Calibri" w:hAnsi="Calibri"/>
                <w:b w:val="0"/>
                <w:i w:val="0"/>
                <w:color w:val="000000"/>
                <w:sz w:val="22"/>
              </w:rPr>
              <w:t>PP-QC-SOP-025</w:t>
            </w:r>
            <w:r>
              <w:rPr>
                <w:rFonts w:ascii="Calibri" w:hAnsi="Calibri"/>
                <w:b w:val="0"/>
                <w:i w:val="0"/>
                <w:color w:val="000000"/>
                <w:sz w:val="14"/>
              </w:rPr>
            </w:r>
          </w:p>
        </w:tc>
        <w:tc>
          <w:tcPr>
            <w:tcW w:type="dxa" w:w="6165"/>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rPr>
          <w:cantSplit/>
        </w:trPr>
        <w:tc>
          <w:tcPr>
            <w:tcW w:type="dxa" w:w="4301"/>
          </w:tcPr>
          <w:p>
            <w:r/>
            <w:r>
              <w:rPr>
                <w:rFonts w:ascii="Calibri" w:hAnsi="Calibri"/>
                <w:b w:val="0"/>
                <w:i w:val="0"/>
                <w:color w:val="000000"/>
                <w:sz w:val="22"/>
              </w:rPr>
              <w:t>QAS-05-001 / QAS-05-002</w:t>
            </w:r>
            <w:r>
              <w:rPr>
                <w:rFonts w:ascii="Calibri" w:hAnsi="Calibri"/>
                <w:b w:val="0"/>
                <w:i w:val="0"/>
                <w:color w:val="000000"/>
                <w:sz w:val="14"/>
              </w:rPr>
            </w:r>
          </w:p>
        </w:tc>
        <w:tc>
          <w:tcPr>
            <w:tcW w:type="dxa" w:w="6165"/>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rPr>
          <w:cantSplit/>
        </w:trPr>
        <w:tc>
          <w:tcPr>
            <w:tcW w:type="dxa" w:w="4301"/>
          </w:tcPr>
          <w:p>
            <w:r/>
            <w:r>
              <w:rPr>
                <w:rFonts w:ascii="Calibri" w:hAnsi="Calibri"/>
                <w:b w:val="0"/>
                <w:i w:val="0"/>
                <w:color w:val="000000"/>
                <w:sz w:val="22"/>
              </w:rPr>
              <w:t>QAS-08-001</w:t>
            </w:r>
            <w:r>
              <w:rPr>
                <w:rFonts w:ascii="Calibri" w:hAnsi="Calibri"/>
                <w:b w:val="0"/>
                <w:i w:val="0"/>
                <w:color w:val="000000"/>
                <w:sz w:val="14"/>
              </w:rPr>
            </w:r>
          </w:p>
        </w:tc>
        <w:tc>
          <w:tcPr>
            <w:tcW w:type="dxa" w:w="6165"/>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4301"/>
          </w:tcPr>
          <w:p>
            <w:r/>
            <w:r>
              <w:rPr>
                <w:rFonts w:ascii="Calibri" w:hAnsi="Calibri"/>
                <w:b w:val="0"/>
                <w:i w:val="0"/>
                <w:color w:val="000000"/>
                <w:sz w:val="22"/>
              </w:rPr>
              <w:t>QAS-10-003</w:t>
            </w:r>
            <w:r>
              <w:rPr>
                <w:rFonts w:ascii="Calibri" w:hAnsi="Calibri"/>
                <w:b w:val="0"/>
                <w:i w:val="0"/>
                <w:color w:val="000000"/>
                <w:sz w:val="14"/>
              </w:rPr>
            </w:r>
          </w:p>
        </w:tc>
        <w:tc>
          <w:tcPr>
            <w:tcW w:type="dxa" w:w="6165"/>
          </w:tcPr>
          <w:p>
            <w:r/>
            <w:r>
              <w:rPr>
                <w:rFonts w:ascii="Calibri" w:hAnsi="Calibri"/>
                <w:b w:val="0"/>
                <w:i w:val="0"/>
                <w:color w:val="000000"/>
                <w:sz w:val="22"/>
              </w:rPr>
              <w:t>Квалификација на добавувачи</w:t>
            </w:r>
            <w:r>
              <w:rPr>
                <w:rFonts w:ascii="Calibri" w:hAnsi="Calibri"/>
                <w:b w:val="0"/>
                <w:i w:val="0"/>
                <w:color w:val="000000"/>
                <w:sz w:val="14"/>
              </w:rPr>
              <w:t xml:space="preserve"> | </w:t>
            </w:r>
            <w:r>
              <w:rPr>
                <w:rFonts w:ascii="Calibri" w:hAnsi="Calibri"/>
                <w:b w:val="0"/>
                <w:i w:val="0"/>
                <w:color w:val="000000"/>
                <w:sz w:val="14"/>
              </w:rPr>
              <w:t>Vendor qualification</w:t>
            </w:r>
          </w:p>
        </w:tc>
      </w:tr>
      <w:tr>
        <w:trPr>
          <w:cantSplit/>
        </w:trPr>
        <w:tc>
          <w:tcPr>
            <w:tcW w:type="dxa" w:w="4301"/>
          </w:tcPr>
          <w:p>
            <w:r/>
            <w:r>
              <w:rPr>
                <w:rFonts w:ascii="Calibri" w:hAnsi="Calibri"/>
                <w:b w:val="0"/>
                <w:i w:val="0"/>
                <w:color w:val="000000"/>
                <w:sz w:val="22"/>
              </w:rPr>
              <w:t>PRO-05-001</w:t>
            </w:r>
            <w:r>
              <w:rPr>
                <w:rFonts w:ascii="Calibri" w:hAnsi="Calibri"/>
                <w:b w:val="0"/>
                <w:i w:val="0"/>
                <w:color w:val="000000"/>
                <w:sz w:val="14"/>
              </w:rPr>
            </w:r>
          </w:p>
        </w:tc>
        <w:tc>
          <w:tcPr>
            <w:tcW w:type="dxa" w:w="6165"/>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r>
        <w:trPr>
          <w:cantSplit/>
        </w:trPr>
        <w:tc>
          <w:tcPr>
            <w:tcW w:type="dxa" w:w="4301"/>
          </w:tcPr>
          <w:p>
            <w:r/>
            <w:r>
              <w:rPr>
                <w:rFonts w:ascii="Calibri" w:hAnsi="Calibri"/>
                <w:b w:val="0"/>
                <w:i w:val="0"/>
                <w:color w:val="000000"/>
                <w:sz w:val="22"/>
              </w:rPr>
              <w:t>WHT 003</w:t>
            </w:r>
            <w:r>
              <w:rPr>
                <w:rFonts w:ascii="Calibri" w:hAnsi="Calibri"/>
                <w:b w:val="0"/>
                <w:i w:val="0"/>
                <w:color w:val="000000"/>
                <w:sz w:val="14"/>
              </w:rPr>
            </w:r>
          </w:p>
        </w:tc>
        <w:tc>
          <w:tcPr>
            <w:tcW w:type="dxa" w:w="6165"/>
          </w:tcPr>
          <w:p>
            <w:r/>
            <w:r>
              <w:rPr>
                <w:rFonts w:ascii="Calibri" w:hAnsi="Calibri"/>
                <w:b w:val="0"/>
                <w:i w:val="0"/>
                <w:color w:val="000000"/>
                <w:sz w:val="22"/>
              </w:rPr>
              <w:t>Етикета за транспортна кутија (UBID)</w:t>
            </w:r>
            <w:r>
              <w:rPr>
                <w:rFonts w:ascii="Calibri" w:hAnsi="Calibri"/>
                <w:b w:val="0"/>
                <w:i w:val="0"/>
                <w:color w:val="000000"/>
                <w:sz w:val="14"/>
              </w:rPr>
              <w:t xml:space="preserve"> | </w:t>
            </w:r>
            <w:r>
              <w:rPr>
                <w:rFonts w:ascii="Calibri" w:hAnsi="Calibri"/>
                <w:b w:val="0"/>
                <w:i w:val="0"/>
                <w:color w:val="000000"/>
                <w:sz w:val="14"/>
              </w:rPr>
              <w:t>Transport box label (UBID)</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