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w:t>
      </w:r>
      <w:r>
        <w:rPr>
          <w:rFonts w:ascii="Calibri" w:hAnsi="Calibri"/>
          <w:b w:val="0"/>
          <w:i w:val="0"/>
          <w:color w:val="595959"/>
          <w:sz w:val="20"/>
        </w:rPr>
        <w:t xml:space="preserve"> | </w:t>
      </w:r>
      <w:r>
        <w:rPr>
          <w:rFonts w:ascii="Calibri" w:hAnsi="Calibri"/>
          <w:b/>
          <w:i w:val="0"/>
          <w:color w:val="595959"/>
          <w:sz w:val="20"/>
        </w:rPr>
        <w:t>Post-transport Notification to the Ministry of Health</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00000"/>
                <w:sz w:val="20"/>
              </w:rPr>
              <w:t>TR-________-___</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p>
        </w:tc>
      </w:tr>
    </w:tbl>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keepNext/>
              <w:spacing w:before="20" w:after="20"/>
              <w:jc w:val="center"/>
            </w:pPr>
            <w:r/>
            <w:r>
              <w:rPr>
                <w:rFonts w:ascii="Calibri" w:hAnsi="Calibri"/>
                <w:b w:val="0"/>
                <w:i w:val="0"/>
                <w:color w:val="000000"/>
                <w:sz w:val="20"/>
              </w:rPr>
              <w:t>Пјурли Плант ДООЕЛ Скопје, дозвола бр. ______</w:t>
            </w:r>
            <w:r>
              <w:rPr>
                <w:rFonts w:ascii="Calibri" w:hAnsi="Calibri"/>
                <w:b w:val="0"/>
                <w:i w:val="0"/>
                <w:color w:val="000000"/>
                <w:sz w:val="16"/>
              </w:rPr>
              <w:t xml:space="preserve"> | </w:t>
            </w:r>
            <w:r>
              <w:rPr>
                <w:rFonts w:ascii="Calibri" w:hAnsi="Calibri"/>
                <w:b w:val="0"/>
                <w:i/>
                <w:color w:val="000000"/>
                <w:sz w:val="16"/>
              </w:rPr>
              <w:t>Purely Plant DOOEL Skopje, licence No.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942"/>
        <w:gridCol w:w="1292"/>
        <w:gridCol w:w="2942"/>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1405"/>
          </w:tcPr>
          <w:p>
            <w:pPr>
              <w:keepNext/>
              <w:spacing w:before="20" w:after="20"/>
              <w:jc w:val="center"/>
            </w:pPr>
            <w:r/>
          </w:p>
        </w:tc>
        <w:tc>
          <w:tcPr>
            <w:shd w:val="clear" w:color="auto" w:fill="F2F2F2"/>
            <w:vAlign w:val="center"/>
            <w:tcW w:type="pct" w:w="617"/>
          </w:tcPr>
          <w:p>
            <w:pPr>
              <w:keepNext/>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1405"/>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564"/>
        <w:gridCol w:w="8901"/>
      </w:tblGrid>
      <w:tr>
        <w:trPr>
          <w:cantSplit/>
        </w:trPr>
        <w:tc>
          <w:tcPr>
            <w:shd w:val="clear" w:color="auto" w:fill="F2F2F2"/>
            <w:vAlign w:val="center"/>
            <w:tcW w:type="pct" w:w="747"/>
          </w:tcPr>
          <w:p>
            <w:pPr>
              <w:spacing w:before="20" w:after="20"/>
              <w:jc w:val="left"/>
            </w:pPr>
            <w:r/>
            <w:r>
              <w:rPr>
                <w:rFonts w:ascii="Calibri" w:hAnsi="Calibri"/>
                <w:b/>
                <w:i w:val="0"/>
                <w:color w:val="000000"/>
                <w:sz w:val="20"/>
              </w:rPr>
              <w:t>Превозник</w:t>
            </w:r>
            <w:r>
              <w:rPr>
                <w:rFonts w:ascii="Calibri" w:hAnsi="Calibri"/>
                <w:b w:val="0"/>
                <w:i w:val="0"/>
                <w:color w:val="000000"/>
                <w:sz w:val="16"/>
              </w:rPr>
              <w:t xml:space="preserve"> | </w:t>
            </w:r>
            <w:r>
              <w:rPr>
                <w:rFonts w:ascii="Calibri" w:hAnsi="Calibri"/>
                <w:b w:val="0"/>
                <w:i w:val="0"/>
                <w:color w:val="000000"/>
                <w:sz w:val="16"/>
              </w:rPr>
              <w:t>Carrier</w:t>
            </w:r>
          </w:p>
        </w:tc>
        <w:tc>
          <w:tcPr>
            <w:vAlign w:val="center"/>
            <w:tcW w:type="pct" w:w="4252"/>
          </w:tcPr>
          <w:p>
            <w:pPr>
              <w:spacing w:before="20" w:after="20"/>
              <w:jc w:val="center"/>
            </w:pPr>
            <w:r/>
          </w:p>
        </w:tc>
      </w:tr>
    </w:tbl>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669"/>
        <w:gridCol w:w="2240"/>
        <w:gridCol w:w="1448"/>
        <w:gridCol w:w="2681"/>
        <w:gridCol w:w="2426"/>
      </w:tblGrid>
      <w:tr>
        <w:trPr>
          <w:tblHeader w:val="true"/>
          <w:cantSplit/>
        </w:trPr>
        <w:tc>
          <w:tcPr>
            <w:shd w:val="clear" w:color="auto" w:fill="2B547E"/>
            <w:vAlign w:val="center"/>
            <w:tcW w:type="dxa" w:w="1669"/>
          </w:tcPr>
          <w:p>
            <w:pPr>
              <w:keepNext/>
              <w:spacing w:before="20" w:after="20"/>
              <w:jc w:val="center"/>
            </w:pPr>
            <w:r/>
            <w:r>
              <w:rPr>
                <w:rFonts w:ascii="Calibri" w:hAnsi="Calibri"/>
                <w:b/>
                <w:i w:val="0"/>
                <w:color w:val="FFFFFF"/>
                <w:sz w:val="18"/>
              </w:rPr>
              <w:t>№</w:t>
            </w:r>
          </w:p>
        </w:tc>
        <w:tc>
          <w:tcPr>
            <w:shd w:val="clear" w:color="auto" w:fill="2B547E"/>
            <w:vAlign w:val="center"/>
            <w:tcW w:type="dxa" w:w="2240"/>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1448"/>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2681"/>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242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669"/>
          </w:tcPr>
          <w:p>
            <w:pPr>
              <w:keepNext/>
              <w:spacing w:before="20" w:after="20"/>
              <w:jc w:val="center"/>
            </w:pPr>
            <w:r/>
            <w:r>
              <w:rPr>
                <w:rFonts w:ascii="Calibri" w:hAnsi="Calibri"/>
                <w:b w:val="0"/>
                <w:i w:val="0"/>
                <w:color w:val="000000"/>
                <w:sz w:val="18"/>
              </w:rPr>
              <w:t>1</w:t>
            </w:r>
          </w:p>
        </w:tc>
        <w:tc>
          <w:tcPr>
            <w:vAlign w:val="center"/>
            <w:tcW w:type="dxa" w:w="2240"/>
          </w:tcPr>
          <w:p>
            <w:pPr>
              <w:keepNext/>
              <w:spacing w:before="20" w:after="20"/>
              <w:jc w:val="center"/>
            </w:pPr>
            <w:r/>
          </w:p>
        </w:tc>
        <w:tc>
          <w:tcPr>
            <w:vAlign w:val="center"/>
            <w:tcW w:type="dxa" w:w="1448"/>
          </w:tcPr>
          <w:p>
            <w:pPr>
              <w:keepNext/>
              <w:spacing w:before="20" w:after="20"/>
              <w:jc w:val="center"/>
            </w:pPr>
            <w:r/>
          </w:p>
        </w:tc>
        <w:tc>
          <w:tcPr>
            <w:vAlign w:val="center"/>
            <w:tcW w:type="dxa" w:w="2681"/>
          </w:tcPr>
          <w:p>
            <w:pPr>
              <w:keepNext/>
              <w:spacing w:before="20" w:after="20"/>
              <w:jc w:val="center"/>
            </w:pPr>
            <w:r/>
          </w:p>
        </w:tc>
        <w:tc>
          <w:tcPr>
            <w:vAlign w:val="center"/>
            <w:tcW w:type="dxa" w:w="2426"/>
          </w:tcPr>
          <w:p>
            <w:pPr>
              <w:keepNext/>
              <w:spacing w:before="20" w:after="20"/>
              <w:jc w:val="center"/>
            </w:pPr>
            <w:r/>
          </w:p>
        </w:tc>
      </w:tr>
      <w:tr>
        <w:trPr>
          <w:cantSplit/>
        </w:trPr>
        <w:tc>
          <w:tcPr>
            <w:shd w:val="clear" w:color="auto" w:fill="F2F2F2"/>
            <w:vAlign w:val="center"/>
            <w:tcW w:type="dxa" w:w="1669"/>
          </w:tcPr>
          <w:p>
            <w:pPr>
              <w:keepNext/>
              <w:spacing w:before="20" w:after="20"/>
              <w:jc w:val="center"/>
            </w:pPr>
            <w:r/>
            <w:r>
              <w:rPr>
                <w:rFonts w:ascii="Calibri" w:hAnsi="Calibri"/>
                <w:b w:val="0"/>
                <w:i w:val="0"/>
                <w:color w:val="000000"/>
                <w:sz w:val="18"/>
              </w:rPr>
              <w:t>2</w:t>
            </w:r>
          </w:p>
        </w:tc>
        <w:tc>
          <w:tcPr>
            <w:shd w:val="clear" w:color="auto" w:fill="F7FAFC"/>
            <w:vAlign w:val="center"/>
            <w:tcW w:type="dxa" w:w="2240"/>
          </w:tcPr>
          <w:p>
            <w:pPr>
              <w:keepNext/>
              <w:spacing w:before="20" w:after="20"/>
              <w:jc w:val="center"/>
            </w:pPr>
            <w:r/>
          </w:p>
        </w:tc>
        <w:tc>
          <w:tcPr>
            <w:shd w:val="clear" w:color="auto" w:fill="F7FAFC"/>
            <w:vAlign w:val="center"/>
            <w:tcW w:type="dxa" w:w="1448"/>
          </w:tcPr>
          <w:p>
            <w:pPr>
              <w:keepNext/>
              <w:spacing w:before="20" w:after="20"/>
              <w:jc w:val="center"/>
            </w:pPr>
            <w:r/>
          </w:p>
        </w:tc>
        <w:tc>
          <w:tcPr>
            <w:shd w:val="clear" w:color="auto" w:fill="F7FAFC"/>
            <w:vAlign w:val="center"/>
            <w:tcW w:type="dxa" w:w="2681"/>
          </w:tcPr>
          <w:p>
            <w:pPr>
              <w:keepNext/>
              <w:spacing w:before="20" w:after="20"/>
              <w:jc w:val="center"/>
            </w:pPr>
            <w:r/>
          </w:p>
        </w:tc>
        <w:tc>
          <w:tcPr>
            <w:shd w:val="clear" w:color="auto" w:fill="F7FAFC"/>
            <w:vAlign w:val="center"/>
            <w:tcW w:type="dxa" w:w="2426"/>
          </w:tcPr>
          <w:p>
            <w:pPr>
              <w:keepNext/>
              <w:spacing w:before="20" w:after="20"/>
              <w:jc w:val="center"/>
            </w:pPr>
            <w:r/>
          </w:p>
        </w:tc>
      </w:tr>
      <w:tr>
        <w:trPr>
          <w:cantSplit/>
        </w:trPr>
        <w:tc>
          <w:tcPr>
            <w:shd w:val="clear" w:color="auto" w:fill="F2F2F2"/>
            <w:vAlign w:val="center"/>
            <w:tcW w:type="dxa" w:w="1669"/>
          </w:tcPr>
          <w:p>
            <w:pPr>
              <w:keepNext/>
              <w:spacing w:before="20" w:after="20"/>
              <w:jc w:val="center"/>
            </w:pPr>
            <w:r/>
            <w:r>
              <w:rPr>
                <w:rFonts w:ascii="Calibri" w:hAnsi="Calibri"/>
                <w:b w:val="0"/>
                <w:i w:val="0"/>
                <w:color w:val="000000"/>
                <w:sz w:val="18"/>
              </w:rPr>
              <w:t>3</w:t>
            </w:r>
          </w:p>
        </w:tc>
        <w:tc>
          <w:tcPr>
            <w:vAlign w:val="center"/>
            <w:tcW w:type="dxa" w:w="2240"/>
          </w:tcPr>
          <w:p>
            <w:pPr>
              <w:keepNext/>
              <w:spacing w:before="20" w:after="20"/>
              <w:jc w:val="center"/>
            </w:pPr>
            <w:r/>
          </w:p>
        </w:tc>
        <w:tc>
          <w:tcPr>
            <w:vAlign w:val="center"/>
            <w:tcW w:type="dxa" w:w="1448"/>
          </w:tcPr>
          <w:p>
            <w:pPr>
              <w:keepNext/>
              <w:spacing w:before="20" w:after="20"/>
              <w:jc w:val="center"/>
            </w:pPr>
            <w:r/>
          </w:p>
        </w:tc>
        <w:tc>
          <w:tcPr>
            <w:vAlign w:val="center"/>
            <w:tcW w:type="dxa" w:w="2681"/>
          </w:tcPr>
          <w:p>
            <w:pPr>
              <w:keepNext/>
              <w:spacing w:before="20" w:after="20"/>
              <w:jc w:val="center"/>
            </w:pPr>
            <w:r/>
          </w:p>
        </w:tc>
        <w:tc>
          <w:tcPr>
            <w:vAlign w:val="center"/>
            <w:tcW w:type="dxa" w:w="2426"/>
          </w:tcPr>
          <w:p>
            <w:pPr>
              <w:keepNext/>
              <w:spacing w:before="20" w:after="20"/>
              <w:jc w:val="center"/>
            </w:pPr>
            <w:r/>
          </w:p>
        </w:tc>
      </w:tr>
      <w:tr>
        <w:trPr>
          <w:cantSplit/>
        </w:trPr>
        <w:tc>
          <w:tcPr>
            <w:shd w:val="clear" w:color="auto" w:fill="F2F2F2"/>
            <w:vAlign w:val="center"/>
            <w:tcW w:type="dxa" w:w="1669"/>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shd w:val="clear" w:color="auto" w:fill="F7FAFC"/>
            <w:vAlign w:val="center"/>
            <w:tcW w:type="dxa" w:w="2240"/>
          </w:tcPr>
          <w:p>
            <w:pPr>
              <w:spacing w:before="20" w:after="20"/>
              <w:jc w:val="center"/>
            </w:pPr>
            <w:r/>
          </w:p>
        </w:tc>
        <w:tc>
          <w:tcPr>
            <w:shd w:val="clear" w:color="auto" w:fill="F7FAFC"/>
            <w:vAlign w:val="center"/>
            <w:tcW w:type="dxa" w:w="1448"/>
          </w:tcPr>
          <w:p>
            <w:pPr>
              <w:spacing w:before="20" w:after="20"/>
              <w:jc w:val="center"/>
            </w:pPr>
            <w:r/>
          </w:p>
        </w:tc>
        <w:tc>
          <w:tcPr>
            <w:shd w:val="clear" w:color="auto" w:fill="F7FAFC"/>
            <w:vAlign w:val="center"/>
            <w:tcW w:type="dxa" w:w="2681"/>
          </w:tcPr>
          <w:p>
            <w:pPr>
              <w:spacing w:before="20" w:after="20"/>
              <w:jc w:val="center"/>
            </w:pPr>
            <w:r/>
          </w:p>
        </w:tc>
        <w:tc>
          <w:tcPr>
            <w:shd w:val="clear" w:color="auto" w:fill="F7FAFC"/>
            <w:vAlign w:val="center"/>
            <w:tcW w:type="dxa" w:w="2426"/>
          </w:tcPr>
          <w:p>
            <w:pPr>
              <w:spacing w:before="20" w:after="20"/>
              <w:jc w:val="center"/>
            </w:pPr>
            <w:r/>
          </w:p>
        </w:tc>
      </w:tr>
    </w:tbl>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GPS извештај за рутата.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GPS route report.</w:t>
      </w:r>
    </w:p>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GPS податоците ги проверил (Администратор на обезбедување)</w:t>
            </w:r>
            <w:r>
              <w:rPr>
                <w:rFonts w:ascii="Calibri" w:hAnsi="Calibri"/>
                <w:b w:val="0"/>
                <w:i w:val="0"/>
                <w:color w:val="000000"/>
                <w:sz w:val="14"/>
              </w:rPr>
              <w:t xml:space="preserve"> | </w:t>
            </w:r>
            <w:r>
              <w:rPr>
                <w:rFonts w:ascii="Calibri" w:hAnsi="Calibri"/>
                <w:b w:val="0"/>
                <w:i/>
                <w:color w:val="000000"/>
                <w:sz w:val="14"/>
              </w:rPr>
              <w:t>GPS data verified (Security Administrator)</w:t>
            </w:r>
          </w:p>
        </w:tc>
        <w:tc>
          <w:tcPr>
            <w:shd w:val="clear" w:color="auto" w:fill="F7FAFC"/>
            <w:vAlign w:val="center"/>
            <w:tcW w:type="dxa" w:w="2948"/>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