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40" w:after="60"/>
        <w:jc w:val="center"/>
      </w:pPr>
      <w:r>
        <w:rPr>
          <w:rFonts w:ascii="Calibri" w:hAnsi="Calibri"/>
          <w:b/>
          <w:i w:val="0"/>
          <w:color w:val="2B547E"/>
          <w:sz w:val="24"/>
        </w:rPr>
        <w:t>WHSOP_003_A07</w:t>
      </w:r>
    </w:p>
    <w:p>
      <w:pPr>
        <w:spacing w:before="0" w:after="60"/>
        <w:jc w:val="center"/>
      </w:pPr>
      <w:r>
        <w:rPr>
          <w:rFonts w:ascii="Calibri" w:hAnsi="Calibri"/>
          <w:b/>
          <w:i w:val="0"/>
          <w:color w:val="000000"/>
          <w:sz w:val="28"/>
        </w:rPr>
        <w:t>Преглед на транспортното досие и диспозиција</w:t>
      </w:r>
      <w:r>
        <w:rPr>
          <w:rFonts w:ascii="Calibri" w:hAnsi="Calibri"/>
          <w:b w:val="0"/>
          <w:i w:val="0"/>
          <w:color w:val="595959"/>
          <w:sz w:val="20"/>
        </w:rPr>
        <w:t xml:space="preserve"> | </w:t>
      </w:r>
      <w:r>
        <w:rPr>
          <w:rFonts w:ascii="Calibri" w:hAnsi="Calibri"/>
          <w:b/>
          <w:i w:val="0"/>
          <w:color w:val="595959"/>
          <w:sz w:val="20"/>
        </w:rPr>
        <w:t>Transport File Review and Disposition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595959"/>
          <w:sz w:val="20"/>
        </w:rPr>
        <w:t>(WHSOP_003)</w:t>
      </w:r>
    </w:p>
    <w:p>
      <w:pPr>
        <w:spacing w:before="0" w:after="160"/>
        <w:jc w:val="center"/>
      </w:pPr>
      <w:r>
        <w:rPr>
          <w:rFonts w:ascii="Calibri" w:hAnsi="Calibri"/>
          <w:b/>
          <w:i w:val="0"/>
          <w:color w:val="C00000"/>
          <w:sz w:val="18"/>
        </w:rPr>
        <w:t>РАБОТНА ВЕРЗИЈА — НЕ ЗА УПОТРЕБА | DRAFT — NOT FOR USE</w:t>
      </w:r>
      <w:r>
        <w:rPr>
          <w:rFonts w:ascii="Calibri" w:hAnsi="Calibri"/>
          <w:b w:val="0"/>
          <w:i w:val="0"/>
          <w:color w:val="595959"/>
          <w:sz w:val="16"/>
        </w:rPr>
        <w:t xml:space="preserve">   —   Верзија | Version: DRAFT   ·   Датум на важност | Effective date: —</w:t>
      </w: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1 Идентификација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Identification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884"/>
        <w:gridCol w:w="3396"/>
        <w:gridCol w:w="2789"/>
        <w:gridCol w:w="3396"/>
      </w:tblGrid>
      <w:tr>
        <w:trPr>
          <w:cantSplit/>
        </w:trPr>
        <w:tc>
          <w:tcPr>
            <w:shd w:val="clear" w:color="auto" w:fill="F2F2F2"/>
            <w:vAlign w:val="center"/>
            <w:tcW w:type="pct" w:w="42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UTID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TR-________-___</w:t>
            </w:r>
          </w:p>
        </w:tc>
        <w:tc>
          <w:tcPr>
            <w:shd w:val="clear" w:color="auto" w:fill="F2F2F2"/>
            <w:vAlign w:val="center"/>
            <w:tcW w:type="pct" w:w="1332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Датум на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Transport date</w:t>
            </w:r>
          </w:p>
        </w:tc>
        <w:tc>
          <w:tcPr>
            <w:vAlign w:val="center"/>
            <w:tcW w:type="pct" w:w="1622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837"/>
        <w:gridCol w:w="2670"/>
        <w:gridCol w:w="3288"/>
        <w:gridCol w:w="2670"/>
      </w:tblGrid>
      <w:tr>
        <w:trPr>
          <w:cantSplit/>
        </w:trPr>
        <w:tc>
          <w:tcPr>
            <w:shd w:val="clear" w:color="auto" w:fill="F2F2F2"/>
            <w:vAlign w:val="center"/>
            <w:tcW w:type="pct" w:w="877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Рута (код)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Lane (code)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2F2F2"/>
            <w:vAlign w:val="center"/>
            <w:tcW w:type="pct" w:w="1570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Досието примено од Обезбедување (датум)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File received from Security (date)</w:t>
            </w:r>
          </w:p>
        </w:tc>
        <w:tc>
          <w:tcPr>
            <w:vAlign w:val="center"/>
            <w:tcW w:type="pct" w:w="1275"/>
          </w:tcPr>
          <w:p>
            <w:pPr>
              <w:keepNext/>
              <w:spacing w:before="20" w:after="20"/>
              <w:jc w:val="center"/>
            </w:pPr>
            <w:r/>
          </w:p>
        </w:tc>
      </w:tr>
    </w:tbl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288"/>
        <w:gridCol w:w="7178"/>
      </w:tblGrid>
      <w:tr>
        <w:trPr>
          <w:cantSplit/>
        </w:trPr>
        <w:tc>
          <w:tcPr>
            <w:shd w:val="clear" w:color="auto" w:fill="F2F2F2"/>
            <w:vAlign w:val="center"/>
            <w:tcW w:type="pct" w:w="1570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Преглед завршен (≤ 48 h)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Review completed (≤ 48 h)</w:t>
            </w:r>
          </w:p>
        </w:tc>
        <w:tc>
          <w:tcPr>
            <w:vAlign w:val="center"/>
            <w:tcW w:type="pct" w:w="3429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2 Преглед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Review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3737"/>
        <w:gridCol w:w="1005"/>
        <w:gridCol w:w="923"/>
        <w:gridCol w:w="553"/>
        <w:gridCol w:w="373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Ставка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Item</w:t>
            </w:r>
          </w:p>
        </w:tc>
        <w:tc>
          <w:tcPr>
            <w:shd w:val="clear" w:color="auto" w:fill="2B547E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  <w:tc>
          <w:tcPr>
            <w:shd w:val="clear" w:color="auto" w:fill="2B547E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N/A</w:t>
            </w:r>
          </w:p>
        </w:tc>
        <w:tc>
          <w:tcPr>
            <w:shd w:val="clear" w:color="auto" w:fill="2B547E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Забелешка / 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Remark / deviation No.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TRA одобрен пред известувањата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TRA approved before notifications</w:t>
            </w:r>
          </w:p>
        </w:tc>
        <w:tc>
          <w:tcPr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МВР на досие, добиена пред отпремата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MoIA confirmation on file, received before dispatch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Потврда од обезбедувањето на досие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Security company confirmation on file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Чек-листа A05 (дел А и Б) комплетна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Checklist A05 (parts A and B) complete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5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Манифестот A04 комплетен, сите точки потпишани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Manifest A04 complete, all transfers signed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Ланецот на надзор е непрекинат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Chain of custody unbroken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7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Пломбите цели (или оштетувањето документирано)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Seals intact (or damage documented)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8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логерот во опсег во текот на целиот транспорт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data within range throughout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9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GPS ја потврдува одобрената рута, без непланирани застанувања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GPS confirms approved route, no unscheduled stops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10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Количината порамнета (испратено = примено)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Quantity reconciled (dispatched = received)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11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Известувањето до МЗ поднесено во рок од 3 работни дена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MoH notification submitted within 3 working days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12</w:t>
            </w:r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отстапувања отворени и истражени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deviations opened and investigated</w:t>
            </w:r>
          </w:p>
        </w:tc>
        <w:tc>
          <w:tcPr>
            <w:shd w:val="clear" w:color="auto" w:fill="F7FAFC"/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13</w:t>
            </w:r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Податоците од логерот додадени во трендот на рутата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Logger data added to the lane trend</w:t>
            </w:r>
          </w:p>
        </w:tc>
        <w:tc>
          <w:tcPr>
            <w:vAlign w:val="center"/>
            <w:tcW w:type="dxa" w:w="100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2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53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73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3 Податоци од логерот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Logger data</w:t>
      </w:r>
    </w:p>
    <w:p>
      <w:pPr>
        <w:keepNext/>
        <w:spacing w:before="0" w:after="0" w:lineRule="exact" w:line="4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021"/>
        <w:gridCol w:w="3433"/>
        <w:gridCol w:w="1365"/>
        <w:gridCol w:w="1645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Параметар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Parameter</w:t>
            </w:r>
          </w:p>
        </w:tc>
        <w:tc>
          <w:tcPr>
            <w:shd w:val="clear" w:color="auto" w:fill="2B547E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Спецификација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Specification</w:t>
            </w:r>
          </w:p>
        </w:tc>
        <w:tc>
          <w:tcPr>
            <w:shd w:val="clear" w:color="auto" w:fill="2B547E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Резултат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Result</w:t>
            </w:r>
          </w:p>
        </w:tc>
        <w:tc>
          <w:tcPr>
            <w:shd w:val="clear" w:color="auto" w:fill="2B547E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Усогласено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Compliant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Мин. температура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Min. temperature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температура (°C)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temperature (°C)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MKT (°C)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Кумулативно време надвор од опсег (мин)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Cumulative time out of range (min)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Макс. RH (%)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Max. RH (%)</w:t>
            </w:r>
          </w:p>
        </w:tc>
        <w:tc>
          <w:tcPr>
            <w:vAlign w:val="center"/>
            <w:tcW w:type="dxa" w:w="343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60</w:t>
            </w:r>
          </w:p>
        </w:tc>
        <w:tc>
          <w:tcPr>
            <w:vAlign w:val="center"/>
            <w:tcW w:type="dxa" w:w="136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45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02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Времетраење (h:min)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Duration (h:min)</w:t>
            </w:r>
          </w:p>
        </w:tc>
        <w:tc>
          <w:tcPr>
            <w:shd w:val="clear" w:color="auto" w:fill="F7FAFC"/>
            <w:vAlign w:val="center"/>
            <w:tcW w:type="dxa" w:w="343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≤ квалификувано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≤ qualified</w:t>
            </w:r>
          </w:p>
        </w:tc>
        <w:tc>
          <w:tcPr>
            <w:shd w:val="clear" w:color="auto" w:fill="F7FAFC"/>
            <w:vAlign w:val="center"/>
            <w:tcW w:type="dxa" w:w="1365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64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240"/>
      </w:pPr>
    </w:p>
    <w:p>
      <w:pPr>
        <w:spacing w:before="0" w:after="0"/>
        <w:jc w:val="center"/>
        <w:keepNext/>
        <w:pBdr>
          <w:top w:val="single" w:sz="4" w:space="2" w:color="2B547E"/>
          <w:left w:val="single" w:sz="4" w:space="4" w:color="2B547E"/>
          <w:bottom w:val="single" w:sz="4" w:space="2" w:color="2B547E"/>
          <w:right w:val="single" w:sz="4" w:space="4" w:color="2B547E"/>
        </w:pBdr>
        <w:shd w:val="clear" w:color="auto" w:fill="2B547E"/>
      </w:pPr>
      <w:r>
        <w:rPr>
          <w:rFonts w:ascii="Calibri" w:hAnsi="Calibri"/>
          <w:b/>
          <w:i w:val="0"/>
          <w:color w:val="FFFFFF"/>
          <w:sz w:val="22"/>
        </w:rPr>
        <w:t>4 Диспозиција</w:t>
      </w:r>
      <w:r>
        <w:rPr>
          <w:rFonts w:ascii="Calibri" w:hAnsi="Calibri"/>
          <w:b w:val="0"/>
          <w:i w:val="0"/>
          <w:color w:val="FFFFFF"/>
          <w:sz w:val="18"/>
        </w:rPr>
        <w:t xml:space="preserve"> | </w:t>
      </w:r>
      <w:r>
        <w:rPr>
          <w:rFonts w:ascii="Calibri" w:hAnsi="Calibri"/>
          <w:b w:val="0"/>
          <w:i w:val="0"/>
          <w:color w:val="FFFFFF"/>
          <w:sz w:val="18"/>
        </w:rPr>
        <w:t>Disposition</w:t>
      </w:r>
    </w:p>
    <w:p>
      <w:pPr>
        <w:keepNext/>
        <w:spacing w:before="0" w:after="0" w:lineRule="exact" w:line="40"/>
      </w:pPr>
    </w:p>
    <w:tbl>
      <w:tblPr>
        <w:jc w:val="center"/>
        <w:tblLook w:firstColumn="1" w:firstRow="1" w:lastColumn="0" w:lastRow="0" w:noHBand="0" w:noVBand="1" w:val="04A0"/>
        <w:tblLayout w:type="fixed"/>
        <w:tblW w:type="pct" w:w="5000"/>
        <w:tblInd w:type="dxa" w:w="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623"/>
        <w:gridCol w:w="4467"/>
        <w:gridCol w:w="283"/>
        <w:gridCol w:w="623"/>
        <w:gridCol w:w="4467"/>
      </w:tblGrid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Неусогласено — до QP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Non-compliant — to QP</w:t>
            </w:r>
          </w:p>
        </w:tc>
      </w:tr>
      <w:tr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☐</w:t>
            </w:r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4"/>
              </w:rPr>
              <w:t>Одобрено со отстапување</w:t>
            </w:r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20"/>
              </w:rPr>
              <w:t>Approved with deviation</w:t>
            </w:r>
          </w:p>
        </w:tc>
        <w:tc>
          <w:tcPr>
            <w:vAlign w:val="center"/>
            <w:tcW w:type="pct" w:w="1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9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pct" w:w="2134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676"/>
        <w:gridCol w:w="6790"/>
      </w:tblGrid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keepNext/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Образложение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Justification</w:t>
            </w:r>
          </w:p>
        </w:tc>
        <w:tc>
          <w:tcPr>
            <w:vAlign w:val="center"/>
            <w:tcW w:type="dxa" w:w="6790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676"/>
          </w:tcPr>
          <w:p>
            <w:pPr>
              <w:spacing w:before="20" w:after="20"/>
              <w:jc w:val="left"/>
            </w:pPr>
            <w:r/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Одлука на QP за материјалот (при неусогласеност)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QP decision on the material (if non-compliant)</w:t>
            </w:r>
          </w:p>
        </w:tc>
        <w:tc>
          <w:tcPr>
            <w:vAlign w:val="center"/>
            <w:tcW w:type="dxa" w:w="6790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0" w:after="0" w:lineRule="exact" w:line="120"/>
      </w:pP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889"/>
        <w:gridCol w:w="2948"/>
        <w:gridCol w:w="1474"/>
        <w:gridCol w:w="2154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Reviewed (QA)</w:t>
            </w:r>
          </w:p>
        </w:tc>
        <w:tc>
          <w:tcPr>
            <w:vAlign w:val="center"/>
            <w:tcW w:type="dxa" w:w="2948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154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388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Одлучил (QP) — при неусогласеност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Decided (QP) — if non-compliant</w:t>
            </w:r>
          </w:p>
        </w:tc>
        <w:tc>
          <w:tcPr>
            <w:shd w:val="clear" w:color="auto" w:fill="F7FAFC"/>
            <w:vAlign w:val="center"/>
            <w:tcW w:type="dxa" w:w="2948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shd w:val="clear" w:color="auto" w:fill="F7FAFC"/>
            <w:vAlign w:val="center"/>
            <w:tcW w:type="dxa" w:w="2154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Преглед на транспортното досие и диспозиција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File Review and Disposition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WHSOP_003_A07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