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  <w:spacing w:val="0"/>
          <w:kern w:val="0"/>
        </w:rPr>
        <w:t>Работен атлас</w:t>
      </w:r>
      <w:r>
        <w:rPr>
          <w:rFonts w:ascii="Calibri" w:hAnsi="Calibri"/>
          <w:b w:val="0"/>
          <w:i w:val="0"/>
          <w:color w:val="595959"/>
          <w:sz w:val="22"/>
          <w:spacing w:val="0"/>
          <w:kern w:val="0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  <w:spacing w:val="0"/>
          <w:kern w:val="0"/>
        </w:rPr>
        <w:t>Working atlas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  <w:spacing w:val="0"/>
          <w:kern w:val="0"/>
        </w:rPr>
        <w:t>Атлас на потенција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  <w:spacing w:val="0"/>
          <w:kern w:val="0"/>
        </w:rPr>
        <w:t>Potency Atlas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  <w:spacing w:val="0"/>
          <w:kern w:val="0"/>
        </w:rPr>
        <w:t>КК</w:t>
      </w:r>
      <w:r>
        <w:rPr>
          <w:rFonts w:ascii="Calibri" w:hAnsi="Calibri"/>
          <w:b w:val="0"/>
          <w:i w:val="0"/>
          <w:color w:val="595959"/>
          <w:sz w:val="20"/>
          <w:spacing w:val="0"/>
          <w:kern w:val="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  <w:spacing w:val="0"/>
          <w:kern w:val="0"/>
        </w:rPr>
        <w:t>Quality Control</w:t>
      </w:r>
    </w:p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  <w:spacing w:val="0"/>
          <w:kern w:val="0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0"/>
                <w:spacing w:val="0"/>
                <w:kern w:val="0"/>
              </w:rPr>
              <w:t>Опфат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>Scope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Сите некогаш тестирани резултати за Вкупен Δ⁹-THC по сорта, предложените класи (номинала ± толеранција) за залихата Т1/Т2/Т3 и имињата по преименувањето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Every Total Δ⁹-THC result ever tested per strain, the proposed grade tiers (nominal ± tolerance) for the T1/T2/T3 stock, and the names after renaming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0"/>
                <w:spacing w:val="0"/>
                <w:kern w:val="0"/>
              </w:rPr>
              <w:t>Корпус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>Corpus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99 резултати од регистарот на сертификати · 20 сорти · 78 серии на залиха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99 certificate-register results · 20 strains · 78 stock batches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0"/>
                <w:spacing w:val="0"/>
                <w:kern w:val="0"/>
              </w:rPr>
              <w:t>Правило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>Rule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Класите се декларираат одозгора надолу: најсилната класа зема полни ±10,00% од номиналата, а секоја пониска се протега надолу до точно 0,01 под подот на класата над неа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Tiers are declared top-down: the strongest tier takes its full ±10.00%, each lower tier extends down to exactly 0.01 below the tier above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0"/>
                <w:spacing w:val="0"/>
                <w:kern w:val="0"/>
              </w:rPr>
              <w:t>Статус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>Status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Неформална работна анализа; меродавни остануваат лабораториските сертификати и издадените QCSP спецификации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Informal working analysis; the laboratory certificates and the issued QCSP specifications remain authoritative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  <w:spacing w:val="0"/>
          <w:kern w:val="0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  <w:spacing w:val="0"/>
                <w:kern w:val="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  <w:spacing w:val="0"/>
                <w:kern w:val="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  <w:spacing w:val="0"/>
                <w:kern w:val="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  <w:spacing w:val="0"/>
                <w:kern w:val="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Prepared (QC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Прегледал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Reviewed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Approved (QC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  <w:spacing w:val="0"/>
          <w:kern w:val="0"/>
        </w:rPr>
        <w:t>Неформален работен документ — не е контролиран запис | Informal working document — not a controlled record</w:t>
      </w:r>
    </w:p>
    <w:p>
      <w:r>
        <w:rPr>
          <w:spacing w:val="0"/>
          <w:kern w:val="0"/>
        </w:rPr>
        <w:br w:type="page"/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  <w:spacing w:val="0"/>
          <w:kern w:val="0"/>
        </w:rPr>
        <w:t>1.  ПРАВИЛО ЗА КЛАСИТЕ</w:t>
      </w:r>
      <w:r>
        <w:rPr>
          <w:rFonts w:ascii="Calibri" w:hAnsi="Calibri"/>
          <w:b w:val="0"/>
          <w:i w:val="0"/>
          <w:color w:val="595959"/>
          <w:sz w:val="36"/>
          <w:spacing w:val="0"/>
          <w:kern w:val="0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  <w:spacing w:val="0"/>
          <w:kern w:val="0"/>
        </w:rPr>
        <w:t>The Grade Rule</w:t>
      </w:r>
    </w:p>
    <w:p>
      <w:pPr>
        <w:spacing w:before="40" w:after="40" w:line="254" w:lineRule="auto"/>
        <w:jc w:val="both"/>
      </w:pPr>
      <w:r>
        <w:rPr>
          <w:rFonts w:ascii="Calibri" w:hAnsi="Calibri"/>
          <w:b w:val="0"/>
          <w:i w:val="0"/>
          <w:color w:val="16232B"/>
          <w:sz w:val="19"/>
          <w:spacing w:val="0"/>
          <w:kern w:val="0"/>
        </w:rPr>
        <w:t>Секоја класа е номинала ± толеранција: номиналата е секогаш на чекор од 0,50% (nn,00% или nn,50%), а толеранцијата никогаш не надминува 10,00% од номиналата. Класите се декларираат одозгора надолу, како што се одредуваат рачно: најсилната (највисоката) класа има приоритет и ја зема својата полна ширина ±10,00% — ништо не ја ограничува одозгора, па најсилната класа никогаш не се стеснува. Секоја пониска класа потоа се протега надолу од таа над неа: нејзината горна граница е точно 0,01 под долната граница на класата над неа (без празен простор), а зема онолку од своите ±10,00% колку што може додека допира до таа граница. Пониска класа е потесна од полните ±10% само кога точното допирање со класата над неа не остава повеќе простор — никогаш поради друга причина. | Each tier is a nominal ± tolerance: the nominal always sits on a 0.50% step (nn.00% or nn.50%) and the tolerance never exceeds 10.00% of the nominal. Tiers are declared top-down, the way they are set by hand: the strongest (highest) tier gets priority and takes its full ±10.00% — nothing constrains it from above, so the strongest grade is never squeezed. Each lower tier then extends downward from the one above: its ceiling sits exactly 0.01 below the floor of the tier above (no blind gap), taking as much of its own ±10.00% as it can while reaching that ceiling. A lower tier is narrower than its full ±10% only when meeting the tier above exactly leaves no more room — never for any other reason.</w:t>
      </w:r>
    </w:p>
    <w:p>
      <w:pPr>
        <w:spacing w:before="40" w:after="40" w:line="254" w:lineRule="auto"/>
        <w:jc w:val="both"/>
      </w:pPr>
      <w:r>
        <w:rPr>
          <w:rFonts w:ascii="Calibri" w:hAnsi="Calibri"/>
          <w:b w:val="0"/>
          <w:i w:val="0"/>
          <w:color w:val="16232B"/>
          <w:sz w:val="19"/>
          <w:spacing w:val="0"/>
          <w:kern w:val="0"/>
        </w:rPr>
        <w:t>Сидро на серија = најновиот верификуван резултат (вредноста на тековниот CoQ за пуштање). Подот на ниту една класа не смее да е под 5,00% Вкупен THC. Само кога два тестирани резултати се толку далеку што ниту еден пар номинали не може да ги премости во рамки на 10,00%, останува вистински, означен јаз — не измислена преодна класа. | A batch's anchor = its most recent verified result (the value on the current release CoQ). No tier's floor may sit below 5.00% Total THC. Only where two tested results are too far apart for any nominal pair to bridge within the 10.00% cap does a genuine, flagged gap remain — never a fabricated bridge tier.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tblHeader w:val="true"/>
        </w:trPr>
        <w:tc>
          <w:tcPr>
            <w:shd w:val="clear" w:color="auto" w:fill="E9F4EC"/>
            <w:tcW w:type="dxa" w:w="104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375623"/>
                <w:sz w:val="18"/>
                <w:spacing w:val="0"/>
                <w:kern w:val="0"/>
              </w:rPr>
              <w:t>Параметри: ±10,00% од номиналата (максимум) · номинала на чекор 0,50% · допир на класи точно 0,01 · под 5,00% · сидро = најнов резултат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  <w:spacing w:val="0"/>
                <w:kern w:val="0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375623"/>
                <w:sz w:val="20"/>
                <w:spacing w:val="0"/>
                <w:kern w:val="0"/>
              </w:rPr>
              <w:t>Parameters: ±10.00% of nominal (cap) · nominal on a 0.50% grid · tiers meet at exactly 0.01 · 5.00% floor · anchor = most recent result</w:t>
            </w:r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  <w:spacing w:val="0"/>
          <w:kern w:val="0"/>
        </w:rPr>
        <w:t>2.  ФИНАЛНИ ОПСЕЗИ НА ПОТЕНЦИЈА ПО СОРТА</w:t>
      </w:r>
      <w:r>
        <w:rPr>
          <w:rFonts w:ascii="Calibri" w:hAnsi="Calibri"/>
          <w:b w:val="0"/>
          <w:i w:val="0"/>
          <w:color w:val="595959"/>
          <w:sz w:val="36"/>
          <w:spacing w:val="0"/>
          <w:kern w:val="0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  <w:spacing w:val="0"/>
          <w:kern w:val="0"/>
        </w:rPr>
        <w:t>Final Potency Grade Ranges per Strain</w:t>
      </w:r>
    </w:p>
    <w:p>
      <w:pPr>
        <w:spacing w:before="40" w:after="40" w:line="254" w:lineRule="auto"/>
        <w:jc w:val="both"/>
      </w:pPr>
      <w:r>
        <w:rPr>
          <w:rFonts w:ascii="Calibri" w:hAnsi="Calibri"/>
          <w:b w:val="0"/>
          <w:i/>
          <w:color w:val="4A5B6C"/>
          <w:sz w:val="17"/>
          <w:spacing w:val="0"/>
          <w:kern w:val="0"/>
        </w:rPr>
        <w:t>Лева колона: оригиналната спецификациска сорта. Средна: предложените класи (номинала ± толеранција, опсег, серии). Десна: имињата што сериите ги носат по преименувањето (01_Portfolio_Master); каде сериите под новото име се групираат поинаку, неговите сопствени класи се дадени под името. | Left column: the original specification strain. Middle: the proposed tiers (nominal ± tolerance, range, batches). Right: the names the batches carry after renaming (01_Portfolio_Master); where a new name's batches cluster differently, its own tiers are given under that name.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rPr>
          <w:tblHeader w:val="true"/>
        </w:trPr>
        <w:tc>
          <w:tcPr>
            <w:tcW w:type="dxa" w:w="2041"/>
            <w:shd w:val="clear" w:color="auto" w:fill="2B547E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  <w:spacing w:val="0"/>
                <w:kern w:val="0"/>
              </w:rPr>
              <w:t>Оригинална спецификација | Original specification</w:t>
            </w:r>
          </w:p>
        </w:tc>
        <w:tc>
          <w:tcPr>
            <w:tcW w:type="dxa" w:w="5046"/>
            <w:shd w:val="clear" w:color="auto" w:fill="2B547E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  <w:spacing w:val="0"/>
                <w:kern w:val="0"/>
              </w:rPr>
              <w:t>Предложени опсези по класи | Proposed grade ranges</w:t>
            </w:r>
          </w:p>
        </w:tc>
        <w:tc>
          <w:tcPr>
            <w:tcW w:type="dxa" w:w="3345"/>
            <w:shd w:val="clear" w:color="auto" w:fill="2B547E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  <w:spacing w:val="0"/>
                <w:kern w:val="0"/>
              </w:rPr>
              <w:t>Имиња по преименување | Names after renaming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Amnesia Core Cut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без тестирања | no assays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2E2E"/>
                <w:sz w:val="15"/>
                <w:spacing w:val="0"/>
                <w:kern w:val="0"/>
              </w:rPr>
              <w:t>ПРОВИЗОРНО | PROVISIONAL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13.00% ±1.30%  (11.70% – 14.30%)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ACC102501</w:t>
            </w:r>
          </w:p>
        </w:tc>
        <w:tc>
          <w:tcPr>
            <w:tcW w:type="dxa" w:w="3345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Amnesia Core · STEADY · 1 серија | batch</w:t>
            </w:r>
          </w:p>
        </w:tc>
      </w:tr>
      <w:tr>
        <w:tc>
          <w:tcPr>
            <w:tcW w:type="dxa" w:w="2041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Apple and Banana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17.00% ±1.70%  (15.30% – 18.70%)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AB092501</w:t>
            </w:r>
          </w:p>
        </w:tc>
        <w:tc>
          <w:tcPr>
            <w:tcW w:type="dxa" w:w="3345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Appels &amp; Bananas · CAYN · 1 серија | batch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Blue Gelato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2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26.00% ±2.60%  (23.40% – 28.60%)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BG1024</w:t>
            </w:r>
          </w:p>
        </w:tc>
        <w:tc>
          <w:tcPr>
            <w:tcW w:type="dxa" w:w="3345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7"/>
                <w:spacing w:val="0"/>
                <w:kern w:val="0"/>
              </w:rPr>
              <w:t>Blue Gelato · STEADY · 1 серија | batch · без промена | unchanged</w:t>
            </w:r>
          </w:p>
        </w:tc>
      </w:tr>
      <w:tr>
        <w:tc>
          <w:tcPr>
            <w:tcW w:type="dxa" w:w="2041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Blue Sunset Sherbet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4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20.50% ±1.54%  (18.96% – 22.04%)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BSS052501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24.50% ±2.45%  (22.05% – 26.95%)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BSS1024_01/1, BSS1024</w:t>
            </w:r>
          </w:p>
        </w:tc>
        <w:tc>
          <w:tcPr>
            <w:tcW w:type="dxa" w:w="3345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Sunset Sherbet · STEADY · 3 серии | batches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Cap Junky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12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16.00% ±1.30%  (14.70% – 17.30%)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CJ052501/02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19.00% ±1.69%  (17.31% – 20.69%)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CJ082501/2, CJ062501/2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Pot.-3: 23.00% ±2.30%  (20.70% – 25.30%)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CJ062501/1, CJ092501, CJ1024, CJ072501, CJ052501/01, CJ082501/1</w:t>
            </w:r>
          </w:p>
        </w:tc>
        <w:tc>
          <w:tcPr>
            <w:tcW w:type="dxa" w:w="3345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Cookie Kush · CAYN · 6 серии | batches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19.00% ±1.69% (17.31% – 20.69%)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Pot.-2: 23.00% ±2.30% (20.70% – 25.30%)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OG Banana's · STEADY · 3 серии | batches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15.00% ±1.20% (13.80% – 16.20%)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Pot.-2: 18.00% ±1.79% (16.21% – 19.79%)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Pot.-3: 22.00% ±2.20% (19.80% – 24.20%)</w:t>
            </w:r>
          </w:p>
        </w:tc>
      </w:tr>
      <w:tr>
        <w:tc>
          <w:tcPr>
            <w:tcW w:type="dxa" w:w="2041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Cash Cow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2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13.50% ±1.34%  (12.16% – 14.84%)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CC012603, CC112501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16.50% ±1.65%  (14.85% – 18.15%)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CC012601/1</w:t>
            </w:r>
          </w:p>
        </w:tc>
        <w:tc>
          <w:tcPr>
            <w:tcW w:type="dxa" w:w="3345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Payday · STEADY · 3 серии | batches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Chem Flyer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без тестирања | no assays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2E2E"/>
                <w:sz w:val="15"/>
                <w:spacing w:val="0"/>
                <w:kern w:val="0"/>
              </w:rPr>
              <w:t>ПРОВИЗОРНО | PROVISIONAL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10.00% ±1.00%  (9.00% – 11.00%)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CF102501</w:t>
            </w:r>
          </w:p>
        </w:tc>
        <w:tc>
          <w:tcPr>
            <w:tcW w:type="dxa" w:w="3345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Shark Tank · STEADY · 1 серија | batch</w:t>
            </w:r>
          </w:p>
        </w:tc>
      </w:tr>
      <w:tr>
        <w:tc>
          <w:tcPr>
            <w:tcW w:type="dxa" w:w="2041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Clemosa a bud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8.00% ±0.80%  (7.20% – 8.80%)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CLE072501</w:t>
            </w:r>
          </w:p>
        </w:tc>
        <w:tc>
          <w:tcPr>
            <w:tcW w:type="dxa" w:w="3345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Clemosa · STEADY · 1 серија | batch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Fat Bastard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6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16.00% ±1.54%  (14.46% – 17.54%)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FB012601/1, FB112501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19.50% ±1.95%  (17.55% – 21.45%)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FB012603V, FB012602, FB012603</w:t>
            </w:r>
          </w:p>
        </w:tc>
        <w:tc>
          <w:tcPr>
            <w:tcW w:type="dxa" w:w="3345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Fat Sofa · CAYN · 2 серии | batches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17.50% ±1.75% (15.75% – 19.25%)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Daywalker · CAYN · 3 серии | batches</w:t>
            </w:r>
          </w:p>
        </w:tc>
      </w:tr>
      <w:tr>
        <w:tc>
          <w:tcPr>
            <w:tcW w:type="dxa" w:w="2041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Gorilla Glue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9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14.50% ±1.24%  (13.26% – 15.74%)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GG1024, GG012601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17.50% ±1.75%  (15.75% – 19.25%)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GG1024_02, GG012603, GG112501, GG1024_01</w:t>
            </w:r>
          </w:p>
        </w:tc>
        <w:tc>
          <w:tcPr>
            <w:tcW w:type="dxa" w:w="3345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GG4 · STEADY · 2 серии | batches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15.50% ±1.55% (13.95% – 17.05%)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Gorilla Gang · STEADY · 3 серии | batches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13.00% ±0.80% (12.20% – 13.80%)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Pot.-2: 15.00% ±1.19% (13.81% – 16.19%)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Pot.-3: 18.00% ±1.80% (16.20% – 19.80%)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Cherry Chocolate · CAYN · 1 серија | batch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18.00% ±1.80% (16.20% – 19.80%)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Grape Pie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17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17.00% ±1.40%  (15.60% – 18.40%)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GP082501/2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20.00% ±1.59%  (18.41% – 21.59%)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GP052501, GP072501/2, GP082501/1, GP072501/1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Pot.-3: 24.00% ±2.40%  (21.60% – 26.40%)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GP0824_02, GP062501, GP0824_03, GP092501</w:t>
            </w:r>
          </w:p>
        </w:tc>
        <w:tc>
          <w:tcPr>
            <w:tcW w:type="dxa" w:w="3345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Vanilla Grapes · CAYN · 6 серии | batches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17.00% ±1.50% (15.50% – 18.50%)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Pot.-2: 20.50% ±1.99% (18.51% – 22.49%)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Pot.-3: 25.00% ±2.50% (22.50% – 27.50%)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7"/>
                <w:spacing w:val="0"/>
                <w:kern w:val="0"/>
              </w:rPr>
              <w:t>Grape Pie · STEADY · 3 серии | batches · без промена | unchanged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24.00% ±2.40% (21.60% – 26.40%)</w:t>
            </w:r>
          </w:p>
        </w:tc>
      </w:tr>
      <w:tr>
        <w:tc>
          <w:tcPr>
            <w:tcW w:type="dxa" w:w="2041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Graps &amp; Creme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7.00% ±0.70%  (6.30% – 7.70%)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GRC102501/1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2E2E"/>
                <w:sz w:val="16"/>
                <w:spacing w:val="0"/>
                <w:kern w:val="0"/>
              </w:rPr>
              <w:t>Јаз — нема класа | Gap — no grade: 7.70% – 10.35%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11.50% ±1.15%  (10.35% – 12.65%)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GRC102501/2</w:t>
            </w:r>
          </w:p>
        </w:tc>
        <w:tc>
          <w:tcPr>
            <w:tcW w:type="dxa" w:w="3345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Plum Tarte · STEADY · 2 серии | batches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High Pro Amnesia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5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17.50% ±1.39%  (16.11% – 18.89%)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HPA1024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21.00% ±2.10%  (18.90% – 23.10%)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HPA052501, HPA1024_01</w:t>
            </w:r>
          </w:p>
        </w:tc>
        <w:tc>
          <w:tcPr>
            <w:tcW w:type="dxa" w:w="3345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7"/>
                <w:spacing w:val="0"/>
                <w:kern w:val="0"/>
              </w:rPr>
              <w:t>High Pro Amnesia · STEADY · 1 серија | batch · без промена | unchanged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17.50% ±1.75% (15.75% – 19.25%)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Hazy Daze · CAYN · 2 серии | batches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20.50% ±2.05% (18.45% – 22.55%)</w:t>
            </w:r>
          </w:p>
        </w:tc>
      </w:tr>
      <w:tr>
        <w:tc>
          <w:tcPr>
            <w:tcW w:type="dxa" w:w="2041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Jelly Donutz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7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16.50% ±1.49%  (15.01% – 17.99%)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JD012603/02V, JD012603/01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20.00% ±2.00%  (18.00% – 22.00%)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JD012601, JD112501, JD012603/02</w:t>
            </w:r>
          </w:p>
        </w:tc>
        <w:tc>
          <w:tcPr>
            <w:tcW w:type="dxa" w:w="3345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Jelly Donuts · CAYN · 4 серии | batches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16.00% ±1.54% (14.46% – 17.54%)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Pot.-2: 19.50% ±1.95% (17.55% – 21.45%)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Strawberry Cupcakes · STEADY · 1 серија | batch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16.50% ±1.65% (14.85% – 18.15%)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Jokerz 31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6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17.50% ±1.39%  (16.11% – 18.89%)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J31102501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21.00% ±2.10%  (18.90% – 23.10%)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J31112501, J31122501</w:t>
            </w:r>
          </w:p>
        </w:tc>
        <w:tc>
          <w:tcPr>
            <w:tcW w:type="dxa" w:w="3345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7"/>
                <w:spacing w:val="0"/>
                <w:kern w:val="0"/>
              </w:rPr>
              <w:t>Jokerz 31 · CAYN · 3 серии | batches · без промена | unchanged</w:t>
            </w:r>
          </w:p>
        </w:tc>
      </w:tr>
      <w:tr>
        <w:tc>
          <w:tcPr>
            <w:tcW w:type="dxa" w:w="2041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Kush Crasher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17.00% ±1.70%  (15.30% – 18.70%)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KC102501</w:t>
            </w:r>
          </w:p>
        </w:tc>
        <w:tc>
          <w:tcPr>
            <w:tcW w:type="dxa" w:w="3345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7"/>
                <w:spacing w:val="0"/>
                <w:kern w:val="0"/>
              </w:rPr>
              <w:t>Kush Crasher · CAYN · 1 серија | batch · без промена | unchanged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Motor Breath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2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18.00% ±1.80%  (16.20% – 19.80%)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MB0824_05, MB0824_04</w:t>
            </w:r>
          </w:p>
        </w:tc>
        <w:tc>
          <w:tcPr>
            <w:tcW w:type="dxa" w:w="3345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NY Diesel · CAYN · 2 серии | batches</w:t>
            </w:r>
          </w:p>
        </w:tc>
      </w:tr>
      <w:tr>
        <w:tc>
          <w:tcPr>
            <w:tcW w:type="dxa" w:w="2041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Orange Punch Mimosa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11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8.00% ±0.54%  (7.46% – 8.54%)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OPM122501, OPM112501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9.50% ±0.95%  (8.55% – 10.45%)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OPM092501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2E2E"/>
                <w:sz w:val="16"/>
                <w:spacing w:val="0"/>
                <w:kern w:val="0"/>
              </w:rPr>
              <w:t>Јаз — нема класа | Gap — no grade: 10.45% – 13.45%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Pot.-3: 14.50% ±1.05%  (13.45% – 15.55%)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OPM052501, OMP1024_01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Pot.-4: 17.00% ±1.44%  (15.56% – 18.44%)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OPM1024_03, OPM1024_02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Pot.-5: 20.50% ±2.05%  (18.45% – 22.55%)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OPM1024</w:t>
            </w:r>
          </w:p>
        </w:tc>
        <w:tc>
          <w:tcPr>
            <w:tcW w:type="dxa" w:w="3345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Orange Dream · CAYN · 1 серија | batch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20.00% ±2.00% (18.00% – 22.00%)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Tangie Queen · CAYN · 2 серии | batches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17.00% ±1.70% (15.30% – 18.70%)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Citrus Bloom · STEADY · 3 серии | batches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8.00% ±0.80% (7.20% – 8.80%)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Pot.-2: 14.50% ±1.45% (13.05% – 15.95%)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Soft Citrus Bloom · STEADY · 2 серии | batches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8.00% ±0.54% (7.46% – 8.54%)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Pot.-2: 9.50% ±0.95% (8.55% – 10.45%)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Permanent Marker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4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10.50% ±0.74%  (9.76% – 11.24%)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PM072501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12.50% ±1.25%  (11.25% – 13.75%)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PM092501, PM112501</w:t>
            </w:r>
          </w:p>
        </w:tc>
        <w:tc>
          <w:tcPr>
            <w:tcW w:type="dxa" w:w="3345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Formula 1 · STEADY · 3 серии | batches</w:t>
            </w:r>
          </w:p>
        </w:tc>
      </w:tr>
      <w:tr>
        <w:tc>
          <w:tcPr>
            <w:tcW w:type="dxa" w:w="2041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Pure Michigen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без тестирања | no assays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2E2E"/>
                <w:sz w:val="15"/>
                <w:spacing w:val="0"/>
                <w:kern w:val="0"/>
              </w:rPr>
              <w:t>ПРОВИЗОРНО | PROVISIONAL</w:t>
            </w:r>
          </w:p>
        </w:tc>
        <w:tc>
          <w:tcPr>
            <w:tcW w:type="dxa" w:w="5046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15.50% ±1.55%  (13.95% – 17.05%)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PUM102501</w:t>
            </w:r>
          </w:p>
        </w:tc>
        <w:tc>
          <w:tcPr>
            <w:tcW w:type="dxa" w:w="3345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Lifeguard · STEADY · 1 серија | batch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Scrambler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3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18.00% ±1.79%  (16.21% – 19.79%)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SCR112501, SCR012603, SCR012601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22.00% ±2.20%  (19.80% – 24.20%)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SCR022601</w:t>
            </w:r>
          </w:p>
        </w:tc>
        <w:tc>
          <w:tcPr>
            <w:tcW w:type="dxa" w:w="3345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7"/>
                <w:spacing w:val="0"/>
                <w:kern w:val="0"/>
              </w:rPr>
              <w:t>Scrambler · CAYN · 3 серии | batches · без промена | unchanged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18.00% ±1.80% (16.20% – 19.80%)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Rainbow Sherbet · STEADY · 1 серија | batch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22.00% ±2.20% (19.80% – 24.20%)</w:t>
            </w:r>
          </w:p>
        </w:tc>
      </w:tr>
      <w:tr>
        <w:tc>
          <w:tcPr>
            <w:tcW w:type="dxa" w:w="2041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Sleepy Joy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3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9.00% ±0.89%  (8.11% – 9.89%)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SJ112501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Pot.-2: 11.00% ±1.10%  (9.90% – 12.10%)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SJ092501, SJ102501</w:t>
            </w:r>
          </w:p>
        </w:tc>
        <w:tc>
          <w:tcPr>
            <w:tcW w:type="dxa" w:w="3345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Sleepy Joe · STEADY · 2 серии | batches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11.00% ±1.10% (9.90% – 12.10%)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Calmino · CAYN · 1 серија | batch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4532B"/>
                <w:sz w:val="15"/>
                <w:spacing w:val="0"/>
                <w:kern w:val="0"/>
              </w:rPr>
              <w:t xml:space="preserve">   Pot.-1: 9.00% ±0.90% (8.10% – 9.90%)</w:t>
            </w:r>
          </w:p>
        </w:tc>
      </w:tr>
      <w:tr>
        <w:tc>
          <w:tcPr>
            <w:tcW w:type="dxa" w:w="2041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Wedding Cake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без тестирања | no assays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2E2E"/>
                <w:sz w:val="15"/>
                <w:spacing w:val="0"/>
                <w:kern w:val="0"/>
              </w:rPr>
              <w:t>ПРОВИЗОРНО | PROVISIONAL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22.00% ±2.20%  (19.80% – 24.20%)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WED102501</w:t>
            </w:r>
          </w:p>
        </w:tc>
        <w:tc>
          <w:tcPr>
            <w:tcW w:type="dxa" w:w="3345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Tropic Cake · STEADY · 1 серија | batch</w:t>
            </w:r>
          </w:p>
        </w:tc>
      </w:tr>
      <w:tr>
        <w:tc>
          <w:tcPr>
            <w:tcW w:type="dxa" w:w="2041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1"/>
                <w:spacing w:val="0"/>
                <w:kern w:val="0"/>
              </w:rPr>
              <w:t>Wedding Crasher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5"/>
                <w:spacing w:val="0"/>
                <w:kern w:val="0"/>
              </w:rPr>
              <w:t>Бр. тестирани резултати | results tested: 2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8A6D14"/>
                <w:sz w:val="15"/>
                <w:spacing w:val="0"/>
                <w:kern w:val="0"/>
              </w:rPr>
              <w:t>ДЕФИНИТИВНО | DEFINITIVE</w:t>
            </w:r>
          </w:p>
        </w:tc>
        <w:tc>
          <w:tcPr>
            <w:tcW w:type="dxa" w:w="5046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4532B"/>
                <w:sz w:val="19"/>
                <w:spacing w:val="0"/>
                <w:kern w:val="0"/>
              </w:rPr>
              <w:t>Pot.-1: 22.00% ±2.20%  (19.80% – 24.20%)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5"/>
                <w:spacing w:val="0"/>
                <w:kern w:val="0"/>
              </w:rPr>
              <w:t>WC082501, WC072501</w:t>
            </w:r>
          </w:p>
        </w:tc>
        <w:tc>
          <w:tcPr>
            <w:tcW w:type="dxa" w:w="3345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17"/>
                <w:spacing w:val="0"/>
                <w:kern w:val="0"/>
              </w:rPr>
              <w:t>Wedding Crusher · CAYN · 2 серии | batches</w:t>
            </w:r>
          </w:p>
        </w:tc>
      </w:tr>
    </w:tbl>
    <w:p>
      <w:pPr>
        <w:spacing w:before="40" w:after="40" w:line="254" w:lineRule="auto"/>
        <w:jc w:val="both"/>
      </w:pPr>
      <w:r>
        <w:rPr>
          <w:rFonts w:ascii="Calibri" w:hAnsi="Calibri"/>
          <w:b w:val="0"/>
          <w:i/>
          <w:color w:val="4A5B6C"/>
          <w:sz w:val="17"/>
          <w:spacing w:val="0"/>
          <w:kern w:val="0"/>
        </w:rPr>
        <w:t>20 сорти дефинитивно, 4 провизорно (само декларирана основа). Формалното усвојување останува во спецификациите QCSP по редовна процедура. | 20 strains definitive, 4 provisional (declared basis only). Formal adoption remains with the QCSP specifications through the regular procedure.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  <w:spacing w:val="0"/>
          <w:kern w:val="0"/>
        </w:rPr>
        <w:t>3.  ЗАЛИХА Т1/Т2/Т3 — КЛАСА ПО СЕРИЈА</w:t>
      </w:r>
      <w:r>
        <w:rPr>
          <w:rFonts w:ascii="Calibri" w:hAnsi="Calibri"/>
          <w:b w:val="0"/>
          <w:i w:val="0"/>
          <w:color w:val="595959"/>
          <w:sz w:val="36"/>
          <w:spacing w:val="0"/>
          <w:kern w:val="0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  <w:spacing w:val="0"/>
          <w:kern w:val="0"/>
        </w:rPr>
        <w:t>T1/T2/T3 Stock — Grade per Batch</w:t>
      </w:r>
    </w:p>
    <w:p>
      <w:pPr>
        <w:spacing w:before="40" w:after="40" w:line="254" w:lineRule="auto"/>
        <w:jc w:val="both"/>
      </w:pPr>
      <w:r>
        <w:rPr>
          <w:rFonts w:ascii="Calibri" w:hAnsi="Calibri"/>
          <w:b w:val="0"/>
          <w:i/>
          <w:color w:val="4A5B6C"/>
          <w:sz w:val="17"/>
          <w:spacing w:val="0"/>
          <w:kern w:val="0"/>
        </w:rPr>
        <w:t>Сидро = најнов верификуван резултат; каде нема ниту еден сертификат, основата е декларираната вредност (жолти редови — тестирајте пред формално декларирање). Простор надолу = растојание од сидрото до подот на класата, во процентни поени. | Anchor = most recent verified result; where no certificate exists the declared value is the basis (yellow rows — test before formal declaration). Downward headroom = distance from the anchor to the grade floor, in percentage points.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blHeader w:val="true"/>
        </w:trPr>
        <w:tc>
          <w:tcPr>
            <w:tcW w:type="dxa" w:w="454"/>
            <w:shd w:val="clear" w:color="auto" w:fill="2B547E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  <w:spacing w:val="0"/>
                <w:kern w:val="0"/>
              </w:rPr>
              <w:t>Т</w:t>
            </w:r>
          </w:p>
        </w:tc>
        <w:tc>
          <w:tcPr>
            <w:tcW w:type="dxa" w:w="1644"/>
            <w:shd w:val="clear" w:color="auto" w:fill="2B547E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  <w:spacing w:val="0"/>
                <w:kern w:val="0"/>
              </w:rPr>
              <w:t>Серија | Batch</w:t>
            </w:r>
          </w:p>
        </w:tc>
        <w:tc>
          <w:tcPr>
            <w:tcW w:type="dxa" w:w="1814"/>
            <w:shd w:val="clear" w:color="auto" w:fill="2B547E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  <w:spacing w:val="0"/>
                <w:kern w:val="0"/>
              </w:rPr>
              <w:t>Сорта | Strain</w:t>
            </w:r>
          </w:p>
        </w:tc>
        <w:tc>
          <w:tcPr>
            <w:tcW w:type="dxa" w:w="1814"/>
            <w:shd w:val="clear" w:color="auto" w:fill="2B547E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  <w:spacing w:val="0"/>
                <w:kern w:val="0"/>
              </w:rPr>
              <w:t>Сидро | Anchor</w:t>
            </w:r>
          </w:p>
        </w:tc>
        <w:tc>
          <w:tcPr>
            <w:tcW w:type="dxa" w:w="737"/>
            <w:shd w:val="clear" w:color="auto" w:fill="2B547E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2551"/>
            <w:shd w:val="clear" w:color="auto" w:fill="2B547E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17"/>
            <w:shd w:val="clear" w:color="auto" w:fill="2B547E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  <w:spacing w:val="0"/>
                <w:kern w:val="0"/>
              </w:rPr>
              <w:t>Простор ↓ (пп) | Headroom (pp)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BG1024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Blue Gelato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26.14% (07.08.2026)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26.00% ± 2.60%  (23.40% – 28.60%)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2.74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BSS1024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Blue Sunset Sherbet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25.01% (07.08.2026)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24.50% ± 2.45%  (22.05% – 26.95%)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2.96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CJ052501/01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24.05% (07.08.2026)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23.00% ± 2.30%  (20.70% – 25.30%)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3.35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CJ062501/2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18.91% (07.08.2026)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19.00% ± 1.69%  (17.31% – 20.69%)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1.60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CJ082501/2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18.29% (07.08.2026)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19.00% ± 1.69%  (17.31% – 20.69%)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0.98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CC012601/1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Cash Cow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17.67% (07.08.2026)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16.50% ± 1.65%  (14.85% – 18.15%)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2.82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FB012602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Fat Bastard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18.86% (07.08.2026)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19.50% ± 1.95%  (17.55% – 21.45%)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1.31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GG012603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16.70% (07.08.2026)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17.50% ± 1.75%  (15.75% – 19.25%)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0.95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GG1024_01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18.67% (07.08.2026)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17.50% ± 1.75%  (15.75% – 19.25%)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2.92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GP052501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18.52% (07.08.2026)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20.00% ± 1.59%  (18.41% – 21.59%)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0.11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GP0824_02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22.61% (07.08.2026)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24.00% ± 2.40%  (21.60% – 26.40%)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1.01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GP082501/2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15.70% (07.08.2026)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17.00% ± 1.40%  (15.60% – 18.40%)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0.10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HPA1024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High Pro Amnesia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17.31% (07.08.2026)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17.50% ± 1.39%  (16.11% – 18.89%)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1.20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HPA1024_01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High Pro Amnesia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21.61% (07.08.2026)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21.00% ± 2.10%  (18.90% – 23.10%)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2.71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JD112501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Jelly Donutz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20.32% (07.08.2026)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20.00% ± 2.00%  (18.00% – 22.00%)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2.32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J31102501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Jokerz 31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17.32% (07.08.2026)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17.50% ± 1.39%  (16.11% – 18.89%)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1.21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OPM1024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20.03% (07.08.2026)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Pot.-5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20.50% ± 2.05%  (18.45% – 22.55%)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1.58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OPM1024_02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18.04% (07.08.2026)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Pot.-4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17.00% ± 1.44%  (15.56% – 18.44%)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2.48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OPM122501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7.91% (07.08.2026)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8.00% ± 0.54%  (7.46% – 8.54%)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0.45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PM092501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Permanent Marker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12.25% (07.08.2026)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12.50% ± 1.25%  (11.25% – 13.75%)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1.00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SCR012603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Scrambler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17.84% (07.08.2026)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18.00% ± 1.79%  (16.21% – 19.79%)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1.63</w:t>
            </w:r>
          </w:p>
        </w:tc>
      </w:tr>
      <w:tr>
        <w:tc>
          <w:tcPr>
            <w:tcW w:type="dxa" w:w="45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ACC102501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Amnesia Core Cut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12.91% (декл. | decl.)</w:t>
            </w:r>
          </w:p>
        </w:tc>
        <w:tc>
          <w:tcPr>
            <w:tcW w:type="dxa" w:w="73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13.00% ± 1.30%  (11.70% – 14.30%)</w:t>
            </w:r>
          </w:p>
        </w:tc>
        <w:tc>
          <w:tcPr>
            <w:tcW w:type="dxa" w:w="141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1.21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BSS052501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Blue Sunset Sherbet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20.39% (28.11.2025)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20.50% ± 1.54%  (18.96% – 22.04%)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1.43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CJ062501/1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21.51% (23.10.2025)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23.00% ± 2.30%  (20.70% – 25.30%)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0.81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CJ082501/1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24.96% (21.01.2026)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23.00% ± 2.30%  (20.70% – 25.30%)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4.26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CJ092501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22.30% (21.01.2026)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23.00% ± 2.30%  (20.70% – 25.30%)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1.60</w:t>
            </w:r>
          </w:p>
        </w:tc>
      </w:tr>
      <w:tr>
        <w:tc>
          <w:tcPr>
            <w:tcW w:type="dxa" w:w="45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CC012603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Cash Cow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12.32% (декл. | decl.)</w:t>
            </w:r>
          </w:p>
        </w:tc>
        <w:tc>
          <w:tcPr>
            <w:tcW w:type="dxa" w:w="73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13.50% ± 1.34%  (12.16% – 14.84%)</w:t>
            </w:r>
          </w:p>
        </w:tc>
        <w:tc>
          <w:tcPr>
            <w:tcW w:type="dxa" w:w="141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0.16</w:t>
            </w:r>
          </w:p>
        </w:tc>
      </w:tr>
      <w:tr>
        <w:tc>
          <w:tcPr>
            <w:tcW w:type="dxa" w:w="45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CF102501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Chem Flyer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9.83% (декл. | decl.)</w:t>
            </w:r>
          </w:p>
        </w:tc>
        <w:tc>
          <w:tcPr>
            <w:tcW w:type="dxa" w:w="73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10.00% ± 1.00%  (9.00% – 11.00%)</w:t>
            </w:r>
          </w:p>
        </w:tc>
        <w:tc>
          <w:tcPr>
            <w:tcW w:type="dxa" w:w="141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0.83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CLE072501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Clemosa a bud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8.02% (21.01.2026)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8.00% ± 0.80%  (7.20% – 8.80%)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0.82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FB012601/1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Fat Bastard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14.68% (11.05.2026)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16.00% ± 1.54%  (14.46% – 17.54%)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0.22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GG1024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13.34% (23.04.2025)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14.50% ± 1.24%  (13.26% – 15.74%)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0.08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GP072501/2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19.81% (21.01.2026)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20.00% ± 1.59%  (18.41% – 21.59%)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1.40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GP0824_03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25.45% (10.07.2025)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24.00% ± 2.40%  (21.60% – 26.40%)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3.85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GP082501/1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21.29% (21.01.2026)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20.00% ± 1.59%  (18.41% – 21.59%)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2.88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GP092501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25.73% (21.01.2026)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24.00% ± 2.40%  (21.60% – 26.40%)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4.13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GRC102501/2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Graps &amp; Creme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11.53% (04.03.2026)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11.50% ± 1.15%  (10.35% – 12.65%)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1.18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HPA052501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High Pro Amnesia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20.39% (19.09.2025)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21.00% ± 2.10%  (18.90% – 23.10%)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1.49</w:t>
            </w:r>
          </w:p>
        </w:tc>
      </w:tr>
      <w:tr>
        <w:tc>
          <w:tcPr>
            <w:tcW w:type="dxa" w:w="45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JD012603/01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Jelly Donutz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16.71% (декл. | decl.)</w:t>
            </w:r>
          </w:p>
        </w:tc>
        <w:tc>
          <w:tcPr>
            <w:tcW w:type="dxa" w:w="73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16.50% ± 1.49%  (15.01% – 17.99%)</w:t>
            </w:r>
          </w:p>
        </w:tc>
        <w:tc>
          <w:tcPr>
            <w:tcW w:type="dxa" w:w="141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1.70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JD012603/02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Jelly Donutz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20.54% (30.06.2026)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20.00% ± 2.00%  (18.00% – 22.00%)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2.54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JD012603/02V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Jelly Donutz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15.16% (30.06.2026)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16.50% ± 1.49%  (15.01% – 17.99%)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0.15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KC102501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Kush Crasher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17.04% (04.03.2026)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17.00% ± 1.70%  (15.30% – 18.70%)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1.74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MB0824_05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Motor Breath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16.82% (28.07.2025)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18.00% ± 1.80%  (16.20% – 19.80%)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0.62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OMP1024_01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15.38% (06.05.2025)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14.50% ± 1.05%  (13.45% – 15.55%)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1.93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OPM092501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9.43% (21.01.2026)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9.50% ± 0.95%  (8.55% – 10.45%)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0.88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OPM1024_03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16.55% (28.07.2025)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17.00% ± 1.44%  (15.56% – 18.44%)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0.99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PM112501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Permanent Marker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13.33% (05.03.2026)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12.50% ± 1.25%  (11.25% – 13.75%)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2.08</w:t>
            </w:r>
          </w:p>
        </w:tc>
      </w:tr>
      <w:tr>
        <w:tc>
          <w:tcPr>
            <w:tcW w:type="dxa" w:w="45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PUM102501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Pure Michigen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15.63% (декл. | decl.)</w:t>
            </w:r>
          </w:p>
        </w:tc>
        <w:tc>
          <w:tcPr>
            <w:tcW w:type="dxa" w:w="73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15.50% ± 1.55%  (13.95% – 17.05%)</w:t>
            </w:r>
          </w:p>
        </w:tc>
        <w:tc>
          <w:tcPr>
            <w:tcW w:type="dxa" w:w="141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1.68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SCR112501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Scrambler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17.13% (11.05.2026)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18.00% ± 1.79%  (16.21% – 19.79%)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0.92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SJ092501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Sleepy Joy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10.96% (21.01.2026)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11.00% ± 1.10%  (9.90% – 12.10%)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1.06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WC082501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Wedding Crasher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21.67% (21.01.2026)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22.00% ± 2.20%  (19.80% – 24.20%)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1.87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AB092501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Apple and Banana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16.93% (21.01.2026)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17.00% ± 1.70%  (15.30% – 18.70%)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1.63</w:t>
            </w:r>
          </w:p>
        </w:tc>
      </w:tr>
      <w:tr>
        <w:tc>
          <w:tcPr>
            <w:tcW w:type="dxa" w:w="45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BSS1024_01/1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Blue Sunset Sherbet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23.42% (декл. | decl.)</w:t>
            </w:r>
          </w:p>
        </w:tc>
        <w:tc>
          <w:tcPr>
            <w:tcW w:type="dxa" w:w="73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24.50% ± 2.45%  (22.05% – 26.95%)</w:t>
            </w:r>
          </w:p>
        </w:tc>
        <w:tc>
          <w:tcPr>
            <w:tcW w:type="dxa" w:w="141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1.37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CJ052501/02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14.93% (17.09.2025)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16.00% ± 1.30%  (14.70% – 17.30%)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0.23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CJ072501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23.70% (28.11.2025)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23.00% ± 2.30%  (20.70% – 25.30%)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3.00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CJ1024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23.00% (26.02.2025)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23.00% ± 2.30%  (20.70% – 25.30%)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2.30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CC112501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Cash Cow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13.35% (11.05.2026)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13.50% ± 1.34%  (12.16% – 14.84%)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1.19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FB012603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Fat Bastard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20.83% (30.06.2026)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19.50% ± 1.95%  (17.55% – 21.45%)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3.28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FB012603V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Fat Bastard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18.29% (30.06.2026)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19.50% ± 1.95%  (17.55% – 21.45%)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0.74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FB112501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Fat Bastard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16.69% (11.05.2026)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16.00% ± 1.54%  (14.46% – 17.54%)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2.23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GG012601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15.35% (11.05.2026)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14.50% ± 1.24%  (13.26% – 15.74%)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2.09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GG1024_02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15.95% (22.05.2025)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17.50% ± 1.75%  (15.75% – 19.25%)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0.20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GG112501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17.94% (11.05.2026)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17.50% ± 1.75%  (15.75% – 19.25%)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2.19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GP062501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24.89% (28.11.2025)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24.00% ± 2.40%  (21.60% – 26.40%)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3.29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GP072501/1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21.36% (21.01.2026)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20.00% ± 1.59%  (18.41% – 21.59%)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2.95</w:t>
            </w:r>
          </w:p>
        </w:tc>
      </w:tr>
      <w:tr>
        <w:tc>
          <w:tcPr>
            <w:tcW w:type="dxa" w:w="45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GRC102501/1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Graps &amp; Creme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7.05% (декл. | decl.)</w:t>
            </w:r>
          </w:p>
        </w:tc>
        <w:tc>
          <w:tcPr>
            <w:tcW w:type="dxa" w:w="73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7.00% ± 0.70%  (6.30% – 7.70%)</w:t>
            </w:r>
          </w:p>
        </w:tc>
        <w:tc>
          <w:tcPr>
            <w:tcW w:type="dxa" w:w="141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0.75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JD012601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Jelly Donutz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18.16% (11.05.2026)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20.00% ± 2.00%  (18.00% – 22.00%)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0.16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J31112501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Jokerz 31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20.21% (09.04.2026)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21.00% ± 2.10%  (18.90% – 23.10%)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1.31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J31122501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Jokerz 31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21.84% (09.04.2026)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21.00% ± 2.10%  (18.90% – 23.10%)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2.94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MB0824_04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Motor Breath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18.67% (06.05.2025)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18.00% ± 1.80%  (16.20% – 19.80%)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2.47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OPM052501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14.16% (05.09.2025)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14.50% ± 1.05%  (13.45% – 15.55%)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0.71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OPM112501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8.00% (05.03.2026)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8.00% ± 0.54%  (7.46% – 8.54%)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0.54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PM072501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Permanent Marker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10.01% (28.11.2025)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10.50% ± 0.74%  (9.76% – 11.24%)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0.25</w:t>
            </w:r>
          </w:p>
        </w:tc>
      </w:tr>
      <w:tr>
        <w:tc>
          <w:tcPr>
            <w:tcW w:type="dxa" w:w="45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SCR012601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Scrambler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18.07% (декл. | decl.)</w:t>
            </w:r>
          </w:p>
        </w:tc>
        <w:tc>
          <w:tcPr>
            <w:tcW w:type="dxa" w:w="73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18.00% ± 1.79%  (16.21% – 19.79%)</w:t>
            </w:r>
          </w:p>
        </w:tc>
        <w:tc>
          <w:tcPr>
            <w:tcW w:type="dxa" w:w="141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1.86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SCR022601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Scrambler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21.92% (06.07.2026)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22.00% ± 2.20%  (19.80% – 24.20%)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2.12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SJ102501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Sleepy Joy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11.20% (04.03.2026)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11.00% ± 1.10%  (9.90% – 12.10%)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1.30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SJ112501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Sleepy Joy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9.20% (04.03.2026)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9.00% ± 0.89%  (8.11% – 9.89%)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1.09</w:t>
            </w:r>
          </w:p>
        </w:tc>
      </w:tr>
      <w:tr>
        <w:tc>
          <w:tcPr>
            <w:tcW w:type="dxa" w:w="45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WED102501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Wedding Cake</w:t>
            </w:r>
          </w:p>
        </w:tc>
        <w:tc>
          <w:tcPr>
            <w:tcW w:type="dxa" w:w="1814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22.05% (декл. | decl.)</w:t>
            </w:r>
          </w:p>
        </w:tc>
        <w:tc>
          <w:tcPr>
            <w:tcW w:type="dxa" w:w="73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22.00% ± 2.20%  (19.80% – 24.20%)</w:t>
            </w:r>
          </w:p>
        </w:tc>
        <w:tc>
          <w:tcPr>
            <w:tcW w:type="dxa" w:w="1417"/>
            <w:shd w:val="clear" w:color="auto" w:fill="FFF8E7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2.25</w:t>
            </w:r>
          </w:p>
        </w:tc>
      </w:tr>
      <w:tr>
        <w:tc>
          <w:tcPr>
            <w:tcW w:type="dxa" w:w="45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64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WC072501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Wedding Crasher</w:t>
            </w:r>
          </w:p>
        </w:tc>
        <w:tc>
          <w:tcPr>
            <w:tcW w:type="dxa" w:w="1814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22.11% (28.11.2025)</w:t>
            </w:r>
          </w:p>
        </w:tc>
        <w:tc>
          <w:tcPr>
            <w:tcW w:type="dxa" w:w="73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2551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16232B"/>
                <w:sz w:val="16"/>
                <w:spacing w:val="0"/>
                <w:kern w:val="0"/>
              </w:rPr>
              <w:t>22.00% ± 2.20%  (19.80% – 24.20%)</w:t>
            </w:r>
          </w:p>
        </w:tc>
        <w:tc>
          <w:tcPr>
            <w:tcW w:type="dxa" w:w="1417"/>
            <w:shd w:val="clear" w:color="auto" w:fill="F4F7FB"/>
            <w:vAlign w:val="center"/>
          </w:tcPr>
          <w:p>
            <w:pPr>
              <w:spacing w:before="10" w:after="1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16"/>
                <w:spacing w:val="0"/>
                <w:kern w:val="0"/>
              </w:rPr>
              <w:t>2.31</w:t>
            </w:r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  <w:spacing w:val="0"/>
          <w:kern w:val="0"/>
        </w:rPr>
        <w:t>4.  ПОТПИСИ</w:t>
      </w:r>
      <w:r>
        <w:rPr>
          <w:rFonts w:ascii="Calibri" w:hAnsi="Calibri"/>
          <w:b w:val="0"/>
          <w:i w:val="0"/>
          <w:color w:val="595959"/>
          <w:sz w:val="36"/>
          <w:spacing w:val="0"/>
          <w:kern w:val="0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  <w:spacing w:val="0"/>
          <w:kern w:val="0"/>
        </w:rPr>
        <w:t>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1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0"/>
                <w:spacing w:val="0"/>
                <w:kern w:val="0"/>
              </w:rPr>
              <w:t>Изготвил и одобрил | Prepared and approved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7"/>
                <w:spacing w:val="0"/>
                <w:kern w:val="0"/>
              </w:rPr>
              <w:t>Менаџер за контрола на квалитет | Quality Control Manager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28"/>
                <w:spacing w:val="0"/>
                <w:kern w:val="0"/>
              </w:rPr>
              <w:t xml:space="preserve"> 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20"/>
                <w:spacing w:val="0"/>
                <w:kern w:val="0"/>
              </w:rPr>
              <w:t>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3"/>
                <w:spacing w:val="0"/>
                <w:kern w:val="0"/>
              </w:rPr>
              <w:t>ИМЕ И ПРЕЗИМЕ | NAME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28"/>
                <w:spacing w:val="0"/>
                <w:kern w:val="0"/>
              </w:rPr>
              <w:t xml:space="preserve"> 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20"/>
                <w:spacing w:val="0"/>
                <w:kern w:val="0"/>
              </w:rPr>
              <w:t>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3"/>
                <w:spacing w:val="0"/>
                <w:kern w:val="0"/>
              </w:rPr>
              <w:t>ПОТПИС | SIGNATURE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28"/>
                <w:spacing w:val="0"/>
                <w:kern w:val="0"/>
              </w:rPr>
              <w:t xml:space="preserve"> 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20"/>
                <w:spacing w:val="0"/>
                <w:kern w:val="0"/>
              </w:rPr>
              <w:t>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3"/>
                <w:spacing w:val="0"/>
                <w:kern w:val="0"/>
              </w:rPr>
              <w:t>ДАТУМ | DATE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0"/>
                <w:spacing w:val="0"/>
                <w:kern w:val="0"/>
              </w:rPr>
              <w:t>Прегледал | Reviewed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/>
                <w:color w:val="4A5B6C"/>
                <w:sz w:val="17"/>
                <w:spacing w:val="0"/>
                <w:kern w:val="0"/>
              </w:rPr>
              <w:t>Менаџер за обезбедување квалитет | Quality Assurance Manager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28"/>
                <w:spacing w:val="0"/>
                <w:kern w:val="0"/>
              </w:rPr>
              <w:t xml:space="preserve"> 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20"/>
                <w:spacing w:val="0"/>
                <w:kern w:val="0"/>
              </w:rPr>
              <w:t>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3"/>
                <w:spacing w:val="0"/>
                <w:kern w:val="0"/>
              </w:rPr>
              <w:t>ИМЕ И ПРЕЗИМЕ | NAME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28"/>
                <w:spacing w:val="0"/>
                <w:kern w:val="0"/>
              </w:rPr>
              <w:t xml:space="preserve"> 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20"/>
                <w:spacing w:val="0"/>
                <w:kern w:val="0"/>
              </w:rPr>
              <w:t>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3"/>
                <w:spacing w:val="0"/>
                <w:kern w:val="0"/>
              </w:rPr>
              <w:t>ПОТПИС | SIGNATURE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28"/>
                <w:spacing w:val="0"/>
                <w:kern w:val="0"/>
              </w:rPr>
              <w:t xml:space="preserve"> 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16232B"/>
                <w:sz w:val="20"/>
                <w:spacing w:val="0"/>
                <w:kern w:val="0"/>
              </w:rPr>
              <w:t>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4A5B6C"/>
                <w:sz w:val="13"/>
                <w:spacing w:val="0"/>
                <w:kern w:val="0"/>
              </w:rPr>
              <w:t>ДАТУМ | DATE</w:t>
            </w:r>
          </w:p>
        </w:tc>
      </w:tr>
    </w:tbl>
    <w:p>
      <w:pPr>
        <w:spacing w:before="40" w:after="40" w:line="254" w:lineRule="auto"/>
        <w:jc w:val="both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Неформален работен документ — потписите потврдуваат изработка, преглед и одобрување на предлогот; формалното усвојување останува во спецификациите QCSP по редовна процедура. | Informal working document — the signatures confirm preparation, review and approval of the proposal; formal adoption remains with the QCSP specifications through the regular procedure.</w:t>
      </w:r>
    </w:p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АТЛАС НА ПОТЕНЦИЈА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  <w:t xml:space="preserve"> | </w:t>
          </w:r>
          <w:r w:rsidR="002325F2">
            <w:rPr>
              <w:rFonts w:ascii="Arial Narrow" w:hAnsi="Arial Narrow" w:cs="Arial Narrow"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</w:rPr>
            <w:t>Potency Atlas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Неформален работен документ</w:t>
          </w:r>
          <w:r w:rsidRPr="008035CF">
            <w:rPr>
              <w:rFonts w:ascii="Calibri" w:hAnsi="Calibri" w:cs="Calibri"/>
            </w:rPr>
          </w:r>
          <w:r w:rsidRPr="008035CF">
            <w:rPr>
              <w:rFonts w:ascii="Calibri" w:hAnsi="Calibri" w:cs="Calibri"/>
              <w:lang w:val="mk-MK"/>
            </w:rPr>
          </w:r>
          <w:r w:rsidRPr="008035CF">
            <w:rPr>
              <w:rFonts w:ascii="Calibri" w:eastAsia="Calibri" w:hAnsi="Calibri" w:cs="Calibri"/>
            </w:rPr>
          </w:r>
          <w:r>
            <w:rPr>
              <w:rFonts w:ascii="Calibri" w:eastAsia="Calibri" w:hAnsi="Calibri" w:cs="Calibri"/>
            </w:rPr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Informal working document</w:t>
          </w:r>
          <w:r>
            <w:rPr>
              <w:rFonts w:ascii="Calibri" w:hAnsi="Calibri" w:cs="Calibri"/>
              <w:sz w:val="18"/>
              <w:szCs w:val="18"/>
            </w:rPr>
          </w:r>
          <w:r>
            <w:rPr>
              <w:rFonts w:ascii="Calibri" w:hAnsi="Calibri" w:cs="Calibri"/>
              <w:b/>
              <w:sz w:val="18"/>
            </w:rPr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</w:r>
          <w:r>
            <w:rPr>
              <w:rFonts w:ascii="Calibri" w:hAnsi="Calibri" w:cs="Calibri"/>
              <w:b/>
              <w:sz w:val="18"/>
            </w:rPr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</w:r>
          <w:r w:rsidR="00A20230">
            <w:rPr>
              <w:rFonts w:ascii="Calibri" w:hAnsi="Calibri" w:cs="Calibri"/>
            </w:rPr>
          </w:r>
          <w:r w:rsidR="00A20230" w:rsidRPr="00A20230">
            <w:rPr>
              <w:rFonts w:ascii="Calibri" w:hAnsi="Calibri" w:cs="Calibri"/>
              <w:sz w:val="16"/>
              <w:szCs w:val="16"/>
            </w:rPr>
          </w:r>
          <w:r w:rsidRPr="00A20230">
            <w:rPr>
              <w:rFonts w:ascii="Calibri" w:eastAsia="Calibri" w:hAnsi="Calibri" w:cs="Calibri"/>
              <w:sz w:val="16"/>
              <w:szCs w:val="16"/>
            </w:rPr>
          </w:r>
          <w:r w:rsidRPr="008035CF">
            <w:rPr>
              <w:rFonts w:ascii="Calibri" w:eastAsia="Calibri" w:hAnsi="Calibri" w:cs="Calibri"/>
              <w:bCs/>
            </w:rPr>
          </w:r>
          <w:r w:rsidRPr="008035CF">
            <w:rPr>
              <w:rFonts w:ascii="Calibri" w:eastAsia="Calibri" w:hAnsi="Calibri" w:cs="Calibri"/>
              <w:b/>
            </w:rPr>
          </w:r>
          <w:r w:rsidRPr="008035CF">
            <w:rPr>
              <w:rFonts w:ascii="Calibri" w:eastAsia="Calibri" w:hAnsi="Calibri" w:cs="Calibri"/>
              <w:b/>
              <w:bCs/>
            </w:rPr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