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КОМПАРАТИВЕН ИЗВЕШТАЈ НА КОНТРОЛА НА КВАЛИТЕТ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Quality Control Comparative Report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Споредба на вкупен Δ⁹-ТХЦ: реанализа наспроти претходен резултат за пуштање во промет и класификација по спецификациски опсег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Total Δ9-THC Comparison: Re-test versus Previous Batch-Release Result and Classification against the Grade Specification Range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Реанализа 07.08.2026 (Транша 1) · 25–26.08.2026 (Транша 2)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Re-test 07.08.2026 (Tranche 1) · 25–26.08.2026 (Tranche 2)</w:t>
      </w:r>
    </w:p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Код на документ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Document code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PP-QC-THC-VER-001/2026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Верзија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Version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Type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Компаративен извештај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Comparative report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Опфат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Scope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48 производствени серии (Транша 1 и 2)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48 production batches (Tranche 1 and 2)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Analyte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Вкупен Δ⁹-ТХЦ, % w/w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Total Δ9-THC, % w/w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Извор на податоци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Data source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thc_dataset.json  (SHA-256 312c259dba5fe3b3…)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i w:val="0"/>
          <w:color w:val="2B547E"/>
          <w:sz w:val="32"/>
        </w:rPr>
        <w:t>СОДРЖИНА</w:t>
      </w:r>
      <w:r>
        <w:rPr>
          <w:rFonts w:ascii="Calibri" w:hAnsi="Calibri"/>
          <w:b w:val="0"/>
          <w:i w:val="0"/>
          <w:color w:val="595959"/>
          <w:sz w:val="24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595959"/>
          <w:sz w:val="18"/>
        </w:rPr>
        <w:t>Десен-клик → Ажурирај поле (Update Field) | Right-click → Update Field</w:t>
      </w:r>
      <w:r>
        <w:fldChar w:fldCharType="end"/>
      </w:r>
    </w:p>
    <w:p>
      <w: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1.  РЕЗИМЕ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Executive Summary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Од 48 оценети серии, 42 имаат претходен резултат и се компарабилни; 6 немаат претходно испитување. По реанализата, 21 серии (50,0 %) остануваат во истиот спецификациски опсег утврден со претходниот резултат, а 21 (50,0 %) преминуваат во друг опсег — 16 нагоре и 5 надолу. Средната промена е +0,91 п.п., медијаната на апсолутната промена 1,81 п.п.; 11 серии се менуваат за повеќе од 3,0 п.п.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Of 48 batches assessed, 42 carry a previous result and are comparable; 6 have no prior test. After re-test, 21 batches (50.0 %) remain within the same specification range established by the previous result, and 21 (50.0 %) migrate to a different range — 16 upward and 5 downward. Mean change is +0.91 pp, median absolute change 1.81 pp; 11 batches move by more than 3.0 pp.</w:t>
      </w:r>
    </w:p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tblHeader w:val="true"/>
        </w:trPr>
        <w:tc>
          <w:tcPr>
            <w:shd w:val="clear" w:color="auto" w:fill="F2F2F2"/>
            <w:tcW w:type="dxa" w:w="104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2B547E"/>
                <w:sz w:val="22"/>
              </w:rPr>
              <w:t>Секоја серија мора да се прекласифицира според реанализата пред етикетирање и ослободување.</w:t>
            </w:r>
            <w:r>
              <w:rPr>
                <w:rFonts w:ascii="Calibri" w:hAnsi="Calibri"/>
                <w:b w:val="0"/>
                <w:i w:val="0"/>
                <w:color w:val="2B547E"/>
                <w:sz w:val="20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2B547E"/>
                <w:sz w:val="20"/>
              </w:rPr>
              <w:t>Every batch must be re-classified on the re-test value before labelling and release.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2.  СПЕЦИФИКАЦИСКА ОСНОВА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Specification Basis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Декларираната содржина се изразува преку номинален степен G ∈ {8, 10, …, 28} % w/w, со дозволено отстапување од ±10 % релативно околу номиналната вредност: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Declared content is expressed as a nominal grade G ∈ {8, 10, …, 28} % w/w with a permitted deviation of ±10 % relative about the nominal value:</w:t>
      </w:r>
    </w:p>
    <w:p>
      <w:pPr>
        <w:spacing w:before="160" w:after="160"/>
        <w:jc w:val="center"/>
      </w:pPr>
      <w:r>
        <w:rPr>
          <w:rFonts w:ascii="Calibri" w:hAnsi="Calibri"/>
          <w:b/>
          <w:i w:val="0"/>
          <w:color w:val="2B547E"/>
          <w:sz w:val="26"/>
        </w:rPr>
        <w:t>[ 0,90·G ,  1,10·G ]</w:t>
      </w:r>
      <w:r>
        <w:rPr>
          <w:rFonts w:ascii="Calibri" w:hAnsi="Calibri"/>
          <w:b w:val="0"/>
          <w:i/>
          <w:color w:val="595959"/>
          <w:sz w:val="22"/>
        </w:rPr>
        <w:t xml:space="preserve">        G ∈ {8, 10, …, 28} % w/w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Серијата се доделува на оној степен чиј опсег ја содржи резултатот; при преклопување на соседни опсези се зема најблискиот номинален степен. Ова е единствениот критериум применет во овој извештај — тој е спецификацијата за декларација, не фармакопејска граница за пуштање во промет.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batch is assigned to the grade whose range contains the result; where adjacent ranges overlap, the nearest nominal grade is taken. This is the sole criterion applied here — it is the label-claim specification, not a pharmacopoeial release limit.</w:t>
      </w:r>
    </w:p>
    <w:p>
      <w:pPr>
        <w:spacing w:before="0" w:after="0" w:line="8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5"/>
        <w:gridCol w:w="2977"/>
        <w:gridCol w:w="2977"/>
        <w:gridCol w:w="297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Степен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Grade</w:t>
            </w:r>
          </w:p>
        </w:tc>
        <w:tc>
          <w:tcPr>
            <w:shd w:val="clear" w:color="auto" w:fill="2B547E"/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Опсег, % w/w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Range</w:t>
            </w:r>
          </w:p>
        </w:tc>
        <w:tc>
          <w:tcPr>
            <w:shd w:val="clear" w:color="auto" w:fill="2B547E"/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Претходно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Previous, n</w:t>
            </w:r>
          </w:p>
        </w:tc>
        <w:tc>
          <w:tcPr>
            <w:shd w:val="clear" w:color="auto" w:fill="2B547E"/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Реанализа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Re-test, n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G8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7,2 – 8,8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7.2 – 8.8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G10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9,0 – 11,0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9.0 – 11.0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G12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10,8 – 13,2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10.8 – 13.2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G14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12,6 – 15,4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12.6 – 15.4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G16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14,4 – 17,6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14.4 – 17.6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G18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16,2 – 19,8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16.2 – 19.8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G20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18,0 – 22,0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18.0 – 22.0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G22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19,8 – 24,2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19.8 – 24.2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G24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21,6 – 26,4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21.6 – 26.4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G26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23,4 – 28,6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23.4 – 28.6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shd w:val="clear" w:color="auto" w:fill="F2F2F2"/>
            <w:vAlign w:val="center"/>
            <w:tcW w:type="dxa" w:w="15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G28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25,2 – 30,8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25.2 – 30.8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vAlign w:val="center"/>
            <w:tcW w:type="dxa" w:w="2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3.  ИСХОД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Outcome by Batch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3.1  Збирен исход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Aggregate outcome</w:t>
      </w:r>
    </w:p>
    <w:tbl>
      <w:tblPr>
        <w:tblLook w:firstColumn="1" w:firstRow="1" w:lastColumn="0" w:lastRow="0" w:noHBand="0" w:noVBand="1" w:val="04A0"/>
        <w:tblLayout w:type="fixed"/>
        <w:tblW w:type="dxa" w:w="7413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510"/>
        <w:gridCol w:w="327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Исход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Outcome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shd w:val="clear" w:color="auto" w:fill="2B547E"/>
            <w:vAlign w:val="center"/>
            <w:tcW w:type="dxa" w:w="3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од компарабилни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of comparable</w:t>
            </w:r>
          </w:p>
        </w:tc>
      </w:tr>
      <w:tr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Ист опсег задржан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Same range retained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3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50,0 %</w:t>
            </w:r>
          </w:p>
        </w:tc>
      </w:tr>
      <w:tr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Премин во повисок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Migrated upward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vAlign w:val="center"/>
            <w:tcW w:type="dxa" w:w="3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38,1 %</w:t>
            </w:r>
          </w:p>
        </w:tc>
      </w:tr>
      <w:tr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Премин во понизок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Migrated downward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11,9 %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Вкупно компарабилни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4"/>
              </w:rPr>
              <w:t>Total comparable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42</w:t>
            </w:r>
          </w:p>
        </w:tc>
        <w:tc>
          <w:tcPr>
            <w:vAlign w:val="center"/>
            <w:tcW w:type="dxa" w:w="3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100,0 %</w:t>
            </w:r>
          </w:p>
        </w:tc>
      </w:tr>
      <w:tr>
        <w:tc>
          <w:tcPr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претходен резултат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prior result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type="dxa" w:w="32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0" w:line="120" w:lineRule="exact"/>
      </w:pP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Најголем пораст: BG1024 (Blue Gelato) +4,34 п.п. Најголем пад: P060412 (Jelly Donutz) -6,11 п.п.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Largest increase: BG1024 (Blue Gelato) +4.34 pp. Largest decrease: P060412 (Jelly Donutz) -6.11 pp.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3.2  Серии кои го менуваат спецификацискиот опсег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Batches changing specification range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16"/>
        <w:gridCol w:w="1830"/>
        <w:gridCol w:w="1453"/>
        <w:gridCol w:w="1915"/>
        <w:gridCol w:w="1196"/>
        <w:gridCol w:w="27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Претх.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Prev, %</w:t>
            </w:r>
          </w:p>
        </w:tc>
        <w:tc>
          <w:tcPr>
            <w:shd w:val="clear" w:color="auto" w:fill="2B547E"/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Реанализа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Re-test, %</w:t>
            </w:r>
          </w:p>
        </w:tc>
        <w:tc>
          <w:tcPr>
            <w:shd w:val="clear" w:color="auto" w:fill="2B547E"/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Δ, п.п.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pp</w:t>
            </w:r>
          </w:p>
        </w:tc>
        <w:tc>
          <w:tcPr>
            <w:shd w:val="clear" w:color="auto" w:fill="2B547E"/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Опсег: од → 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Range: from → to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P060412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Jelly Donutz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20,54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14,43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18"/>
              </w:rPr>
              <w:t>-6,11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G20 → G14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BG1024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Blue Gelato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21,80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26,14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+4,34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G22 → G26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P060362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Jelly Donutz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16,71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21,01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+4,30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G16 → G22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BSS1024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Blue Sunset Sherbet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21,03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25,01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+3,98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G22 → G26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P050312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21,29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25,13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+3,84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G22 → G26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P050162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 Junky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20,29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24,05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+3,76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G20 → G24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P050042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Punch Mimosa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15,38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18,99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+3,61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G16 → G18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P060022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 Junky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24,96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28,34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+3,38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G24 → G28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P060072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 Junky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22,30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25,65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+3,35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G22 → G26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P060322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Fat Bastard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14,68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17,99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+3,31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G14 → G18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P050222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 Junky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21,51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24,80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+3,29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G22 → G24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P050082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Punch Mimosa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16,55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19,30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+2,75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G16 → G20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P060372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Cash Cow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12,32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14,76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+2,44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G12 → G14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HPA1024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 Pro Amnesia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14,97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17,31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+2,34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G14 → G18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P060232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Permanent Marker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13,00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10,79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18"/>
              </w:rPr>
              <w:t>-2,21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G12 → G10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GG1024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Gorilla Glue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13,34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15,51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+2,17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G14 → G16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P060062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Permanent Marker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14,06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12,25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18"/>
              </w:rPr>
              <w:t>-1,81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G14 → G12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P060182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Grapes and Cream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11,53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9,80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18"/>
              </w:rPr>
              <w:t>-1,73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G12 → G10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P060112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Pure Michigen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15,63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13,95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18"/>
              </w:rPr>
              <w:t>-1,68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G16 → G14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P050112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Motor Breath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16,82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17,93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+1,11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G16 → G18</w:t>
            </w:r>
          </w:p>
        </w:tc>
      </w:tr>
      <w:tr>
        <w:tc>
          <w:tcPr>
            <w:shd w:val="clear" w:color="auto" w:fill="F2F2F2"/>
            <w:vAlign w:val="center"/>
            <w:tcW w:type="dxa" w:w="13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P050322</w:t>
            </w:r>
          </w:p>
        </w:tc>
        <w:tc>
          <w:tcPr>
            <w:vAlign w:val="center"/>
            <w:tcW w:type="dxa" w:w="1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4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14,83</w:t>
            </w:r>
          </w:p>
        </w:tc>
        <w:tc>
          <w:tcPr>
            <w:vAlign w:val="center"/>
            <w:tcW w:type="dxa" w:w="19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15,70</w:t>
            </w:r>
          </w:p>
        </w:tc>
        <w:tc>
          <w:tcPr>
            <w:vAlign w:val="center"/>
            <w:tcW w:type="dxa" w:w="11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18"/>
              </w:rPr>
              <w:t>+0,87</w:t>
            </w:r>
          </w:p>
        </w:tc>
        <w:tc>
          <w:tcPr>
            <w:vAlign w:val="center"/>
            <w:tcW w:type="dxa" w:w="27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G14 → G16</w:t>
            </w:r>
          </w:p>
        </w:tc>
      </w:tr>
    </w:tbl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3.3  Серии кои го задржуваат опсегот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Batches retaining their range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85"/>
        <w:gridCol w:w="2343"/>
        <w:gridCol w:w="1861"/>
        <w:gridCol w:w="2452"/>
        <w:gridCol w:w="212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Претх.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Prev, %</w:t>
            </w:r>
          </w:p>
        </w:tc>
        <w:tc>
          <w:tcPr>
            <w:shd w:val="clear" w:color="auto" w:fill="2B547E"/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Реанализа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Re-test, %</w:t>
            </w:r>
          </w:p>
        </w:tc>
        <w:tc>
          <w:tcPr>
            <w:shd w:val="clear" w:color="auto" w:fill="2B547E"/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Опсег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Range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OPM1024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Punch Mimosa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19,96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20,03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G20 (18.0 – 22.0)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P050022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23,19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22,61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G24 (21.6 – 26.4)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P050052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 Pro Amnesia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22,43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21,61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G22 (19.8 – 24.2)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P050062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Punch Mimosa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18,27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18,04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P050072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25,45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28,30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G26 (23.4 – 28.6)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P050092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Gorilla Glue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17,22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18,67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P050152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18,98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18,52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P050182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 Pro Amnesia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20,39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19,69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G20 (18.0 – 22.0)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P050192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Blue Sunset Sherbet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20,47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20,52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G20 (18.0 – 22.0)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P050282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Clemosa A Bud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8,02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8,65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G8 (7.2 – 8.8)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P050302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19,81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18,29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G20 (18.0 – 22.0)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P060012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Wedding Crusher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21,67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23,48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G22 (19.8 – 24.2)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P060032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 Junky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20,84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18,29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G20 (18.0 – 22.0)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P060042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Punch Mimosa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9,43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10,18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G10 (9.0 – 11.0)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P060082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Sleepy Joe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10,96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10,39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G10 (9.0 – 11.0)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P060092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Grape Pie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25,73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25,24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G26 (23.4 – 28.6)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P060122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Amnesia Core Cut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12,91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12,09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G12 (10.8 – 13.2)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P060132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Chem Flyer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9,83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9,55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G10 (9.0 – 11.0)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P060172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Kush Crasher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17,40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17,06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P060282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Scrambler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17,13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19,73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6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P060422</w:t>
            </w:r>
          </w:p>
        </w:tc>
        <w:tc>
          <w:tcPr>
            <w:vAlign w:val="center"/>
            <w:tcW w:type="dxa" w:w="23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Jelly Donutz</w:t>
            </w:r>
          </w:p>
        </w:tc>
        <w:tc>
          <w:tcPr>
            <w:vAlign w:val="center"/>
            <w:tcW w:type="dxa" w:w="18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15,16</w:t>
            </w:r>
          </w:p>
        </w:tc>
        <w:tc>
          <w:tcPr>
            <w:vAlign w:val="center"/>
            <w:tcW w:type="dxa" w:w="24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17,09</w:t>
            </w:r>
          </w:p>
        </w:tc>
        <w:tc>
          <w:tcPr>
            <w:vAlign w:val="center"/>
            <w:tcW w:type="dxa" w:w="21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G16 (14.4 – 17.6)</w:t>
            </w:r>
          </w:p>
        </w:tc>
      </w:tr>
    </w:tbl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</w:rPr>
        <w:t>3.4  Серии без претходен резултат</w:t>
      </w:r>
      <w:r>
        <w:rPr>
          <w:rFonts w:ascii="Calibri" w:hAnsi="Calibri"/>
          <w:b w:val="0"/>
          <w:i w:val="0"/>
          <w:color w:val="595959"/>
          <w:sz w:val="28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4"/>
        </w:rPr>
        <w:t>Batches without a prior result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14"/>
        <w:gridCol w:w="2522"/>
        <w:gridCol w:w="2640"/>
        <w:gridCol w:w="348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Реанализа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Re-test, %</w:t>
            </w:r>
          </w:p>
        </w:tc>
        <w:tc>
          <w:tcPr>
            <w:shd w:val="clear" w:color="auto" w:fill="2B547E"/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Доделен опсег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Assigned range</w:t>
            </w:r>
          </w:p>
        </w:tc>
      </w:tr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P060152</w:t>
            </w:r>
          </w:p>
        </w:tc>
        <w:tc>
          <w:tcPr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Jokerz 31</w:t>
            </w:r>
          </w:p>
        </w:tc>
        <w:tc>
          <w:tcPr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17,32</w:t>
            </w:r>
          </w:p>
        </w:tc>
        <w:tc>
          <w:tcPr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P060212</w:t>
            </w:r>
          </w:p>
        </w:tc>
        <w:tc>
          <w:tcPr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Jelly Donutz</w:t>
            </w:r>
          </w:p>
        </w:tc>
        <w:tc>
          <w:tcPr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20,32</w:t>
            </w:r>
          </w:p>
        </w:tc>
        <w:tc>
          <w:tcPr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G20 (18.0 – 22.0)</w:t>
            </w:r>
          </w:p>
        </w:tc>
      </w:tr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P060242</w:t>
            </w:r>
          </w:p>
        </w:tc>
        <w:tc>
          <w:tcPr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Orange Punch Mimosa</w:t>
            </w:r>
          </w:p>
        </w:tc>
        <w:tc>
          <w:tcPr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7,91</w:t>
            </w:r>
          </w:p>
        </w:tc>
        <w:tc>
          <w:tcPr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G8 (7.2 – 8.8)</w:t>
            </w:r>
          </w:p>
        </w:tc>
      </w:tr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P060352</w:t>
            </w:r>
          </w:p>
        </w:tc>
        <w:tc>
          <w:tcPr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Fat Bastard</w:t>
            </w:r>
          </w:p>
        </w:tc>
        <w:tc>
          <w:tcPr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18,86</w:t>
            </w:r>
          </w:p>
        </w:tc>
        <w:tc>
          <w:tcPr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P060382</w:t>
            </w:r>
          </w:p>
        </w:tc>
        <w:tc>
          <w:tcPr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Scrambler</w:t>
            </w:r>
          </w:p>
        </w:tc>
        <w:tc>
          <w:tcPr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17,84</w:t>
            </w:r>
          </w:p>
        </w:tc>
        <w:tc>
          <w:tcPr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G18 (16.2 – 19.8)</w:t>
            </w:r>
          </w:p>
        </w:tc>
      </w:tr>
      <w:tr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18"/>
              </w:rPr>
              <w:t>P060402</w:t>
            </w:r>
          </w:p>
        </w:tc>
        <w:tc>
          <w:tcPr>
            <w:vAlign w:val="center"/>
            <w:tcW w:type="dxa" w:w="25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Gorilla Glue</w:t>
            </w:r>
          </w:p>
        </w:tc>
        <w:tc>
          <w:tcPr>
            <w:vAlign w:val="center"/>
            <w:tcW w:type="dxa" w:w="2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16,70</w:t>
            </w:r>
          </w:p>
        </w:tc>
        <w:tc>
          <w:tcPr>
            <w:vAlign w:val="center"/>
            <w:tcW w:type="dxa" w:w="34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G16 (14.4 – 17.6)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4.  ВИЗУЕЛНИ ПРЕТСТАВИ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Visual Representations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/>
          <w:i w:val="0"/>
          <w:color w:val="2B547E"/>
          <w:sz w:val="18"/>
        </w:rPr>
        <w:t xml:space="preserve">Слика | Figure — </w:t>
      </w:r>
      <w:r>
        <w:rPr>
          <w:rFonts w:ascii="Calibri" w:hAnsi="Calibri"/>
          <w:b w:val="0"/>
          <w:i/>
          <w:color w:val="595959"/>
          <w:sz w:val="18"/>
        </w:rPr>
        <w:t>Реанализа наспроти претходен резултат; сенчените појаси се спецификациските опсези, испрекинатата линија е идентитет.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Re-test versus previous result; shaded bands are the specification ranges, dashed line is identity.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/>
          <w:i w:val="0"/>
          <w:color w:val="2B547E"/>
          <w:sz w:val="18"/>
        </w:rPr>
        <w:t xml:space="preserve">Слика | Figure — </w:t>
      </w:r>
      <w:r>
        <w:rPr>
          <w:rFonts w:ascii="Calibri" w:hAnsi="Calibri"/>
          <w:b w:val="0"/>
          <w:i/>
          <w:color w:val="595959"/>
          <w:sz w:val="18"/>
        </w:rPr>
        <w:t>Распределба на серии по степен, претходно наспроти реанализа.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Distribution of batches by grade, previous versus re-test.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5.  ЗАКЛУЧОК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Conclusion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Реанализата не ја потврдува претходната класификација за 21 од 42 компарабилни серии — половина од оценетиот сет. Отстапувањето е претежно нагорно (16 наспроти 5), што исклучува систематска загуба на потентност при чување како единствено објаснување и укажува на разлика меѓу аналитичките серии. Декларацијата на секоја серија мора да се изведе од реанализата; серијата не смее да се етикетира според претходниот степен.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re-test does not confirm the previous classification for 21 of 42 comparable batches — half the assessed set. The shift is predominantly upward (16 versus 5), which excludes systematic potency loss on storage as the sole explanation and points to a between-run analytical difference. Each batch label claim must be derived from the re-test; a batch must not be labelled on its previous grade.</w:t>
      </w:r>
    </w:p>
    <w:p>
      <w:pPr>
        <w:spacing w:before="0" w:after="0" w:line="80" w:lineRule="exact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Ограничување: 6 серии немаат претходен резултат и не влегуваат во компарацијата; вредностите од Транша 2 (25–26.08.2026) се работни изводи без издаден сертификат за анализа и не се валидни како резултат за пуштање во промет додека не бидат сертифицирани.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Limitation: 6 batches have no prior result and are excluded from the comparison; the Tranche 2 values (25–26.08.2026) are working extracts with no certificate of analysis issued and are not valid as release results until certificated.</w:t>
      </w:r>
    </w:p>
    <w:p>
      <w:pPr>
        <w:spacing w:before="0" w:after="0" w:line="120" w:lineRule="exact"/>
      </w:pP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Потекло на податоци | thc_dataset.json · SHA-256 312c259dba5fe3b3a86a91c5de5023f9ab8aa674d52b43a6b35b47004302bc48 · 5194 B.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Data provenance as stated. All statistics computed from the bound dataset at build time.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КК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 xml:space="preserve">ИЗВЕШТАЈ — 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PP-QC-THC-VER-001</w:t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Report — Total Δ9-THC Comparison: Re-test versus Previous Batch-Release Result and Classification against the Grade Specification Range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PP-QC-THC-VER-001/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  <w:t>2026</w:t>
          </w:r>
          <w:r w:rsidRPr="00A20230">
            <w:rPr>
              <w:rFonts w:ascii="Calibri" w:hAnsi="Calibri" w:cs="Calibri"/>
              <w:b/>
              <w:szCs w:val="22"/>
            </w:rPr>
            <w:t>1.0</w:t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1.0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