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/>
      </w:pPr>
      <w:r>
        <w:rPr>
          <w:rFonts w:ascii="Calibri" w:hAnsi="Calibri"/>
          <w:b/>
          <w:i w:val="0"/>
          <w:color w:val="2B547E"/>
          <w:sz w:val="20"/>
        </w:rPr>
        <w:t>ПРИМЕРОЦИ — Ден 1: просторија за земање примероци → КК лабораторија</w:t>
      </w:r>
      <w:r>
        <w:rPr>
          <w:rFonts w:ascii="Calibri" w:hAnsi="Calibri"/>
          <w:b w:val="0"/>
          <w:i w:val="0"/>
          <w:color w:val="595959"/>
          <w:sz w:val="18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</w:rPr>
        <w:t>SAMPLES — Day 1: sampling room → QC laboratory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744"/>
        <w:gridCol w:w="1744"/>
        <w:gridCol w:w="1744"/>
        <w:gridCol w:w="1744"/>
        <w:gridCol w:w="1744"/>
        <w:gridCol w:w="1744"/>
      </w:tblGrid>
      <w:tr>
        <w:tc>
          <w:tcPr>
            <w:gridSpan w:val="2"/>
            <w:shd w:val="clear" w:color="auto" w:fill="F2F2F2"/>
            <w:vAlign w:val="center"/>
            <w:tcW w:type="dxa" w:w="34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Запис број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Record Number</w:t>
            </w:r>
          </w:p>
        </w:tc>
        <w:tc>
          <w:tcPr>
            <w:gridSpan w:val="4"/>
            <w:vAlign w:val="center"/>
            <w:tcW w:type="dxa" w:w="69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PP-QC-SP-002/26-D1-SMP</w:t>
            </w:r>
          </w:p>
        </w:tc>
      </w:tr>
      <w:tr>
        <w:tc>
          <w:tcPr>
            <w:gridSpan w:val="3"/>
            <w:shd w:val="clear" w:color="auto" w:fill="2B547E"/>
            <w:vAlign w:val="center"/>
            <w:tcW w:type="dxa" w:w="5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ПРЕДАВАЊЕ ОД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HANDOVER FROM</w:t>
            </w:r>
          </w:p>
        </w:tc>
        <w:tc>
          <w:tcPr>
            <w:gridSpan w:val="3"/>
            <w:shd w:val="clear" w:color="auto" w:fill="2B547E"/>
            <w:vAlign w:val="center"/>
            <w:tcW w:type="dxa" w:w="5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ПРИЕМ ВО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HANDOVER TO</w:t>
            </w:r>
          </w:p>
        </w:tc>
      </w:tr>
      <w:tr>
        <w:tc>
          <w:tcPr>
            <w:shd w:val="clear" w:color="auto" w:fill="F2F2F2"/>
            <w:vAlign w:val="center"/>
            <w:tcW w:type="dxa" w:w="17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Оддел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Department</w:t>
            </w:r>
          </w:p>
        </w:tc>
        <w:tc>
          <w:tcPr>
            <w:shd w:val="clear" w:color="auto" w:fill="F2F2F2"/>
            <w:vAlign w:val="center"/>
            <w:tcW w:type="dxa" w:w="17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shd w:val="clear" w:color="auto" w:fill="F2F2F2"/>
            <w:vAlign w:val="center"/>
            <w:tcW w:type="dxa" w:w="17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Процес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Process</w:t>
            </w:r>
          </w:p>
        </w:tc>
        <w:tc>
          <w:tcPr>
            <w:shd w:val="clear" w:color="auto" w:fill="F2F2F2"/>
            <w:vAlign w:val="center"/>
            <w:tcW w:type="dxa" w:w="17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Оддел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Department</w:t>
            </w:r>
          </w:p>
        </w:tc>
        <w:tc>
          <w:tcPr>
            <w:shd w:val="clear" w:color="auto" w:fill="F2F2F2"/>
            <w:vAlign w:val="center"/>
            <w:tcW w:type="dxa" w:w="17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Просторија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Room</w:t>
            </w:r>
          </w:p>
        </w:tc>
        <w:tc>
          <w:tcPr>
            <w:shd w:val="clear" w:color="auto" w:fill="F2F2F2"/>
            <w:vAlign w:val="center"/>
            <w:tcW w:type="dxa" w:w="17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Процес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Process</w:t>
            </w:r>
          </w:p>
        </w:tc>
      </w:tr>
      <w:tr>
        <w:tc>
          <w:tcPr>
            <w:vAlign w:val="center"/>
            <w:tcW w:type="dxa" w:w="17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Контрола на квалитет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QC</w:t>
            </w:r>
          </w:p>
        </w:tc>
        <w:tc>
          <w:tcPr>
            <w:vAlign w:val="center"/>
            <w:tcW w:type="dxa" w:w="17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Просторија за 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 room</w:t>
            </w:r>
          </w:p>
        </w:tc>
        <w:tc>
          <w:tcPr>
            <w:vAlign w:val="center"/>
            <w:tcW w:type="dxa" w:w="17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Земање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Sampling</w:t>
            </w:r>
          </w:p>
        </w:tc>
        <w:tc>
          <w:tcPr>
            <w:vAlign w:val="center"/>
            <w:tcW w:type="dxa" w:w="17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Контрола на квалитет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QC</w:t>
            </w:r>
          </w:p>
        </w:tc>
        <w:tc>
          <w:tcPr>
            <w:vAlign w:val="center"/>
            <w:tcW w:type="dxa" w:w="17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КК лабораторија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QC laboratory</w:t>
            </w:r>
          </w:p>
        </w:tc>
        <w:tc>
          <w:tcPr>
            <w:vAlign w:val="center"/>
            <w:tcW w:type="dxa" w:w="17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Губиток при сушење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Loss on drying</w:t>
            </w:r>
          </w:p>
        </w:tc>
      </w:tr>
    </w:tbl>
    <w:p>
      <w:pPr>
        <w:spacing w:before="0" w:after="0" w:line="12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04"/>
        <w:gridCol w:w="1644"/>
        <w:gridCol w:w="1644"/>
        <w:gridCol w:w="2755"/>
        <w:gridCol w:w="1304"/>
        <w:gridCol w:w="1814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Информации за преносот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Transfer information</w:t>
            </w:r>
          </w:p>
        </w:tc>
      </w:tr>
      <w:tr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vAlign w:val="center"/>
            <w:tcW w:type="dxa" w:w="1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</w:t>
            </w:r>
          </w:p>
        </w:tc>
        <w:tc>
          <w:tcPr>
            <w:shd w:val="clear" w:color="auto" w:fill="F2F2F2"/>
            <w:vAlign w:val="center"/>
            <w:tcW w:type="dxa" w:w="1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Референтен документ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Reference document</w:t>
            </w:r>
          </w:p>
        </w:tc>
        <w:tc>
          <w:tcPr>
            <w:vAlign w:val="center"/>
            <w:tcW w:type="dxa" w:w="27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PP-QC-SP-002/26 · QCT 021 Ден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Day 1 → PP-QC-SP-002/26-LOD-01</w:t>
            </w:r>
          </w:p>
        </w:tc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Серија / Лот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Batch / Lot</w:t>
            </w:r>
          </w:p>
        </w:tc>
        <w:tc>
          <w:tcPr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 серии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46 batches</w:t>
            </w:r>
          </w:p>
        </w:tc>
      </w:tr>
      <w:tr>
        <w:tc>
          <w:tcPr>
            <w:shd w:val="clear" w:color="auto" w:fill="F2F2F2"/>
            <w:vAlign w:val="center"/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Забелешка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Note</w:t>
            </w:r>
          </w:p>
        </w:tc>
        <w:tc>
          <w:tcPr>
            <w:gridSpan w:val="5"/>
            <w:vAlign w:val="center"/>
            <w:tcW w:type="dxa" w:w="916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Примероци, по еден за серија (од една кеса), во затворени чисти сади означени по QASOP_031_A07; нето = мострирано од QCT 021. Се анализираат заедно на PP-QC-SP-002/26-LOD-01.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Samples, one per batch (from one bag), in closed clean containers labelled per QASOP_031_A07; net = sampled from QCT 021. They are analysed together on PP-QC-SP-002/26-LOD-01.</w:t>
            </w:r>
          </w:p>
        </w:tc>
      </w:tr>
    </w:tbl>
    <w:p>
      <w:pPr>
        <w:spacing w:before="0" w:after="0" w:line="12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608"/>
        <w:gridCol w:w="2625"/>
        <w:gridCol w:w="2608"/>
        <w:gridCol w:w="2625"/>
      </w:tblGrid>
      <w:tr>
        <w:tc>
          <w:tcPr>
            <w:gridSpan w:val="2"/>
            <w:shd w:val="clear" w:color="auto" w:fill="2B547E"/>
            <w:vAlign w:val="center"/>
            <w:tcW w:type="dxa" w:w="5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Оператор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Operator</w:t>
            </w:r>
          </w:p>
        </w:tc>
        <w:tc>
          <w:tcPr>
            <w:gridSpan w:val="2"/>
            <w:shd w:val="clear" w:color="auto" w:fill="2B547E"/>
            <w:vAlign w:val="center"/>
            <w:tcW w:type="dxa" w:w="5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Супервизор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Supervised by</w:t>
            </w:r>
          </w:p>
        </w:tc>
      </w:tr>
      <w:tr>
        <w:tc>
          <w:tcPr>
            <w:shd w:val="clear" w:color="auto" w:fill="F2F2F2"/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Име Презиме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Name Surname</w:t>
            </w:r>
          </w:p>
        </w:tc>
        <w:tc>
          <w:tcPr>
            <w:shd w:val="clear" w:color="auto" w:fill="F2F2F2"/>
            <w:vAlign w:val="center"/>
            <w:tcW w:type="dxa" w:w="26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 и потпис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 and signature</w:t>
            </w:r>
          </w:p>
        </w:tc>
        <w:tc>
          <w:tcPr>
            <w:shd w:val="clear" w:color="auto" w:fill="F2F2F2"/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Име Презиме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Name Surname</w:t>
            </w:r>
          </w:p>
        </w:tc>
        <w:tc>
          <w:tcPr>
            <w:shd w:val="clear" w:color="auto" w:fill="F2F2F2"/>
            <w:vAlign w:val="center"/>
            <w:tcW w:type="dxa" w:w="26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 и потпис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 and signature</w:t>
            </w:r>
          </w:p>
        </w:tc>
      </w:tr>
      <w:tr>
        <w:trPr>
          <w:trHeight w:val="510" w:hRule="atLeast"/>
        </w:trPr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2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0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25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0" w:after="0" w:line="12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67"/>
        <w:gridCol w:w="3515"/>
        <w:gridCol w:w="1587"/>
        <w:gridCol w:w="1587"/>
        <w:gridCol w:w="3209"/>
      </w:tblGrid>
      <w:tr>
        <w:trPr>
          <w:tblHeader w:val="true"/>
        </w:trPr>
        <w:tc>
          <w:tcPr>
            <w:gridSpan w:val="5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Попис на контејнери/кутии/кеси — нето/бруто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Container/box/bag inventory — net/gross</w:t>
            </w:r>
          </w:p>
        </w:tc>
      </w:tr>
      <w:tr>
        <w:trPr>
          <w:tblHeader w:val="true"/>
        </w:trPr>
        <w:tc>
          <w:tcPr>
            <w:shd w:val="clear" w:color="auto" w:fill="F2F2F2"/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№</w:t>
            </w:r>
          </w:p>
        </w:tc>
        <w:tc>
          <w:tcPr>
            <w:shd w:val="clear" w:color="auto" w:fill="F2F2F2"/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Контејнер/Кутија/Кеса бр.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Container/Box/Bag No.</w:t>
            </w:r>
          </w:p>
        </w:tc>
        <w:tc>
          <w:tcPr>
            <w:shd w:val="clear" w:color="auto" w:fill="F2F2F2"/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Нето (g)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Net (g)</w:t>
            </w:r>
          </w:p>
        </w:tc>
        <w:tc>
          <w:tcPr>
            <w:shd w:val="clear" w:color="auto" w:fill="F2F2F2"/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Бруто (g)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Gross (g)</w:t>
            </w:r>
          </w:p>
        </w:tc>
        <w:tc>
          <w:tcPr>
            <w:shd w:val="clear" w:color="auto" w:fill="F2F2F2"/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Забелешка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Remark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BG1024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BSS1024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GG1024_01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HPA1024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OPM1024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GG1024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PM092501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MB0824_05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OMP1024_01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OPM1024_03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CJ052501/01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CJ062501/2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CJ082501/2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GP052501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GP0824_02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GP082501/2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HPA1024_01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J31102501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JD112501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OPM1024_02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OPM122501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ACC102501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BSS052501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CF102501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CJ062501/1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CJ082501/1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CJ092501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GP072501/2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GP0824_03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GP082501/1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GP092501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GRC102501/2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HPA052501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KC102501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PM112501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PUM102501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SCR112501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WC082501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FB012602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GG012603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SCR012603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CC012603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FB012601/1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JD012603/01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JD012603/02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vAlign w:val="center"/>
            <w:tcW w:type="dxa" w:w="5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</w:t>
            </w:r>
          </w:p>
        </w:tc>
        <w:tc>
          <w:tcPr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JD012603/02V · ____/26_SFR-PC-___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 = 1 · 1 кеса / bag</w:t>
            </w:r>
          </w:p>
        </w:tc>
      </w:tr>
      <w:tr>
        <w:tc>
          <w:tcPr>
            <w:gridSpan w:val="2"/>
            <w:shd w:val="clear" w:color="auto" w:fill="F2F2F2"/>
            <w:vAlign w:val="center"/>
            <w:tcW w:type="dxa" w:w="408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TOTAL</w:t>
            </w:r>
          </w:p>
        </w:tc>
        <w:tc>
          <w:tcPr>
            <w:shd w:val="clear" w:color="auto" w:fill="F2F2F2"/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dxa" w:w="32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46 примероци / samples</w:t>
            </w:r>
          </w:p>
        </w:tc>
      </w:tr>
    </w:tbl>
    <w:p>
      <w:pPr>
        <w:spacing w:before="0" w:after="0" w:line="120" w:lineRule="exact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757"/>
        <w:gridCol w:w="1757"/>
        <w:gridCol w:w="1718"/>
        <w:gridCol w:w="1757"/>
        <w:gridCol w:w="1757"/>
        <w:gridCol w:w="1718"/>
      </w:tblGrid>
      <w:tr>
        <w:tc>
          <w:tcPr>
            <w:gridSpan w:val="6"/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Потврда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Confirmation</w:t>
            </w:r>
          </w:p>
        </w:tc>
      </w:tr>
      <w:tr>
        <w:tc>
          <w:tcPr>
            <w:gridSpan w:val="3"/>
            <w:shd w:val="clear" w:color="auto" w:fill="F2F2F2"/>
            <w:vAlign w:val="center"/>
            <w:tcW w:type="dxa" w:w="5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Доставено од (земање)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Delivered by (sampling)</w:t>
            </w:r>
          </w:p>
        </w:tc>
        <w:tc>
          <w:tcPr>
            <w:gridSpan w:val="3"/>
            <w:shd w:val="clear" w:color="auto" w:fill="F2F2F2"/>
            <w:vAlign w:val="center"/>
            <w:tcW w:type="dxa" w:w="5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Прием од (КК лабораторија)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Receipt by (QC laboratory)</w:t>
            </w:r>
          </w:p>
        </w:tc>
      </w:tr>
      <w:tr>
        <w:tc>
          <w:tcPr>
            <w:shd w:val="clear" w:color="auto" w:fill="F2F2F2"/>
            <w:vAlign w:val="center"/>
            <w:tcW w:type="dxa" w:w="175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Име Презиме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Name Surname</w:t>
            </w:r>
          </w:p>
        </w:tc>
        <w:tc>
          <w:tcPr>
            <w:shd w:val="clear" w:color="auto" w:fill="F2F2F2"/>
            <w:vAlign w:val="center"/>
            <w:tcW w:type="dxa" w:w="175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Signature</w:t>
            </w:r>
          </w:p>
        </w:tc>
        <w:tc>
          <w:tcPr>
            <w:shd w:val="clear" w:color="auto" w:fill="F2F2F2"/>
            <w:vAlign w:val="center"/>
            <w:tcW w:type="dxa" w:w="1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  <w:tc>
          <w:tcPr>
            <w:shd w:val="clear" w:color="auto" w:fill="F2F2F2"/>
            <w:vAlign w:val="center"/>
            <w:tcW w:type="dxa" w:w="175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Име Презиме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Name Surname</w:t>
            </w:r>
          </w:p>
        </w:tc>
        <w:tc>
          <w:tcPr>
            <w:shd w:val="clear" w:color="auto" w:fill="F2F2F2"/>
            <w:vAlign w:val="center"/>
            <w:tcW w:type="dxa" w:w="175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Signature</w:t>
            </w:r>
          </w:p>
        </w:tc>
        <w:tc>
          <w:tcPr>
            <w:shd w:val="clear" w:color="auto" w:fill="F2F2F2"/>
            <w:vAlign w:val="center"/>
            <w:tcW w:type="dxa" w:w="1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Date</w:t>
            </w:r>
          </w:p>
        </w:tc>
      </w:tr>
      <w:tr>
        <w:trPr>
          <w:trHeight w:val="510" w:hRule="atLeast"/>
        </w:trPr>
        <w:tc>
          <w:tcPr>
            <w:vAlign w:val="center"/>
            <w:tcW w:type="dxa" w:w="175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5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1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5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5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18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Запис за пренос на материјал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Material transfer record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22"/>
              <w:szCs w:val="24"/>
            </w:rPr>
            <w:t>QCT 024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IN REVIEW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