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40"/>
        <w:jc w:val="center"/>
      </w:pPr>
      <w:r>
        <w:rPr>
          <w:rFonts w:ascii="Calibri" w:hAnsi="Calibri"/>
          <w:b/>
          <w:i w:val="0"/>
          <w:color w:val="595959"/>
          <w:sz w:val="26"/>
          <w:spacing w:val="0"/>
          <w:kern w:val="0"/>
        </w:rPr>
        <w:t>Неделен план/извештај</w:t>
      </w:r>
      <w:r>
        <w:rPr>
          <w:rFonts w:ascii="Calibri" w:hAnsi="Calibri"/>
          <w:b w:val="0"/>
          <w:i w:val="0"/>
          <w:color w:val="595959"/>
          <w:sz w:val="22"/>
          <w:spacing w:val="0"/>
          <w:kern w:val="0"/>
        </w:rPr>
        <w:t xml:space="preserve">  |  </w:t>
      </w:r>
      <w:r>
        <w:rPr>
          <w:rFonts w:ascii="Calibri" w:hAnsi="Calibri"/>
          <w:b w:val="0"/>
          <w:i w:val="0"/>
          <w:color w:val="595959"/>
          <w:sz w:val="22"/>
          <w:spacing w:val="0"/>
          <w:kern w:val="0"/>
        </w:rPr>
        <w:t>Weekly plan/report</w:t>
      </w:r>
    </w:p>
    <w:p>
      <w:pPr>
        <w:spacing w:before="200" w:after="40"/>
        <w:jc w:val="center"/>
      </w:pPr>
      <w:r>
        <w:rPr>
          <w:rFonts w:ascii="Calibri" w:hAnsi="Calibri"/>
          <w:b/>
          <w:i w:val="0"/>
          <w:color w:val="2B547E"/>
          <w:sz w:val="44"/>
          <w:spacing w:val="0"/>
          <w:kern w:val="0"/>
        </w:rPr>
        <w:t>Неделен план/извештај на Контрола на квалитет</w:t>
      </w:r>
    </w:p>
    <w:p>
      <w:pPr>
        <w:spacing w:before="0" w:after="40"/>
        <w:jc w:val="center"/>
      </w:pPr>
      <w:r>
        <w:rPr>
          <w:rFonts w:ascii="Calibri" w:hAnsi="Calibri"/>
          <w:b w:val="0"/>
          <w:i w:val="0"/>
          <w:color w:val="2B547E"/>
          <w:sz w:val="26"/>
          <w:spacing w:val="0"/>
          <w:kern w:val="0"/>
        </w:rPr>
        <w:t>QC Weekly Plan/Report</w:t>
      </w:r>
    </w:p>
    <w:p>
      <w:pPr>
        <w:spacing w:before="80" w:after="320"/>
        <w:jc w:val="center"/>
      </w:pPr>
      <w:r>
        <w:rPr>
          <w:rFonts w:ascii="Calibri" w:hAnsi="Calibri"/>
          <w:b/>
          <w:i w:val="0"/>
          <w:color w:val="595959"/>
          <w:sz w:val="24"/>
          <w:spacing w:val="0"/>
          <w:kern w:val="0"/>
        </w:rPr>
        <w:t>КК</w:t>
      </w:r>
      <w:r>
        <w:rPr>
          <w:rFonts w:ascii="Calibri" w:hAnsi="Calibri"/>
          <w:b w:val="0"/>
          <w:i w:val="0"/>
          <w:color w:val="595959"/>
          <w:sz w:val="20"/>
          <w:spacing w:val="0"/>
          <w:kern w:val="0"/>
        </w:rPr>
        <w:t xml:space="preserve">  |  </w:t>
      </w:r>
      <w:r>
        <w:rPr>
          <w:rFonts w:ascii="Calibri" w:hAnsi="Calibri"/>
          <w:b w:val="0"/>
          <w:i/>
          <w:color w:val="595959"/>
          <w:sz w:val="20"/>
          <w:spacing w:val="0"/>
          <w:kern w:val="0"/>
        </w:rPr>
        <w:t>Quality Control</w:t>
      </w:r>
    </w:p>
    <w:p>
      <w:pPr>
        <w:spacing w:before="140" w:after="60"/>
      </w:pPr>
      <w:r>
        <w:rPr>
          <w:rFonts w:ascii="Calibri" w:hAnsi="Calibri"/>
          <w:b/>
          <w:i w:val="0"/>
          <w:color w:val="2B547E"/>
          <w:sz w:val="26"/>
          <w:spacing w:val="0"/>
          <w:kern w:val="0"/>
        </w:rPr>
        <w:t>Информации за документот | Document information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75"/>
        <w:gridCol w:w="7291"/>
      </w:tblGrid>
      <w:tr>
        <w:trPr>
          <w:tblHeader w:val="true"/>
        </w:trP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Издание</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Issue</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1 (прво издание на неделниот циклус</w:t>
            </w:r>
            <w:r>
              <w:rPr>
                <w:rFonts w:ascii="Calibri" w:hAnsi="Calibri"/>
                <w:b w:val="0"/>
                <w:i w:val="0"/>
                <w:color w:val="000000"/>
                <w:sz w:val="16"/>
                <w:spacing w:val="0"/>
                <w:kern w:val="0"/>
              </w:rPr>
              <w:t xml:space="preserve"> | </w:t>
            </w:r>
            <w:r>
              <w:rPr>
                <w:rFonts w:ascii="Calibri" w:hAnsi="Calibri"/>
                <w:b w:val="0"/>
                <w:i/>
                <w:color w:val="000000"/>
                <w:sz w:val="16"/>
                <w:spacing w:val="0"/>
                <w:kern w:val="0"/>
              </w:rPr>
              <w:t>first issue of the weekly cycle)</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Извештајна недела</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Report week</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Понеделник 10.08 – Петок 14.08.2026</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Планска недела</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Plan week</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Понеделник 17.08 – Петок 21.08.2026</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Статус</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Status</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Неформална управувачка достава за информација; официјалните записи продолжуваат да се водат според системот за квалитет</w:t>
            </w:r>
            <w:r>
              <w:rPr>
                <w:rFonts w:ascii="Calibri" w:hAnsi="Calibri"/>
                <w:b w:val="0"/>
                <w:i w:val="0"/>
                <w:color w:val="000000"/>
                <w:sz w:val="16"/>
                <w:spacing w:val="0"/>
                <w:kern w:val="0"/>
              </w:rPr>
              <w:t xml:space="preserve"> | </w:t>
            </w:r>
            <w:r>
              <w:rPr>
                <w:rFonts w:ascii="Calibri" w:hAnsi="Calibri"/>
                <w:b w:val="0"/>
                <w:i/>
                <w:color w:val="000000"/>
                <w:sz w:val="16"/>
                <w:spacing w:val="0"/>
                <w:kern w:val="0"/>
              </w:rPr>
              <w:t>Informal management submission for information; the authoritative records continue to be kept under the quality system</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Опфат</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Scope</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Контрола на квалитет: тестирање, инспекции, мониторинг и резултати за ослободување (одлуката за ослободување е на Обезбедување на квалитет)</w:t>
            </w:r>
            <w:r>
              <w:rPr>
                <w:rFonts w:ascii="Calibri" w:hAnsi="Calibri"/>
                <w:b w:val="0"/>
                <w:i w:val="0"/>
                <w:color w:val="000000"/>
                <w:sz w:val="16"/>
                <w:spacing w:val="0"/>
                <w:kern w:val="0"/>
              </w:rPr>
              <w:t xml:space="preserve"> | </w:t>
            </w:r>
            <w:r>
              <w:rPr>
                <w:rFonts w:ascii="Calibri" w:hAnsi="Calibri"/>
                <w:b w:val="0"/>
                <w:i/>
                <w:color w:val="000000"/>
                <w:sz w:val="16"/>
                <w:spacing w:val="0"/>
                <w:kern w:val="0"/>
              </w:rPr>
              <w:t>QC: testing, inspection, monitoring and release-testing data (release disposition itself sits with QA)</w:t>
            </w:r>
          </w:p>
        </w:tc>
      </w:tr>
      <w:tr>
        <w:tc>
          <w:tcPr>
            <w:shd w:val="clear" w:color="auto" w:fill="F2F2F2"/>
            <w:vAlign w:val="center"/>
            <w:tcW w:type="dxa" w:w="3175"/>
          </w:tcPr>
          <w:p>
            <w:pPr>
              <w:spacing w:before="20" w:after="20"/>
              <w:jc w:val="center"/>
            </w:pPr>
            <w:r>
              <w:rPr>
                <w:spacing w:val="0"/>
                <w:kern w:val="0"/>
              </w:rPr>
            </w:r>
            <w:r>
              <w:rPr>
                <w:rFonts w:ascii="Calibri" w:hAnsi="Calibri"/>
                <w:b/>
                <w:i w:val="0"/>
                <w:color w:val="2B547E"/>
                <w:sz w:val="20"/>
                <w:spacing w:val="0"/>
                <w:kern w:val="0"/>
              </w:rPr>
              <w:t>Извори</w:t>
            </w:r>
            <w:r>
              <w:rPr>
                <w:rFonts w:ascii="Calibri" w:hAnsi="Calibri"/>
                <w:b w:val="0"/>
                <w:i w:val="0"/>
                <w:color w:val="2B547E"/>
                <w:sz w:val="16"/>
                <w:spacing w:val="0"/>
                <w:kern w:val="0"/>
              </w:rPr>
              <w:t xml:space="preserve"> | </w:t>
            </w:r>
            <w:r>
              <w:rPr>
                <w:rFonts w:ascii="Calibri" w:hAnsi="Calibri"/>
                <w:b w:val="0"/>
                <w:i w:val="0"/>
                <w:color w:val="2B547E"/>
                <w:sz w:val="16"/>
                <w:spacing w:val="0"/>
                <w:kern w:val="0"/>
              </w:rPr>
              <w:t>Sources</w:t>
            </w:r>
          </w:p>
        </w:tc>
        <w:tc>
          <w:tcPr>
            <w:vAlign w:val="center"/>
            <w:tcW w:type="dxa" w:w="7291"/>
          </w:tcPr>
          <w:p>
            <w:pPr>
              <w:spacing w:before="20" w:after="20"/>
              <w:jc w:val="center"/>
            </w:pPr>
            <w:r>
              <w:rPr>
                <w:spacing w:val="0"/>
                <w:kern w:val="0"/>
              </w:rPr>
            </w:r>
            <w:r>
              <w:rPr>
                <w:rFonts w:ascii="Calibri" w:hAnsi="Calibri"/>
                <w:b w:val="0"/>
                <w:i w:val="0"/>
                <w:color w:val="000000"/>
                <w:sz w:val="20"/>
                <w:spacing w:val="0"/>
                <w:kern w:val="0"/>
              </w:rPr>
              <w:t>Проверени записи на Контрола на квалитет + 4 записи за поминато време (само содржина поврзана со Purely Plant)</w:t>
            </w:r>
            <w:r>
              <w:rPr>
                <w:rFonts w:ascii="Calibri" w:hAnsi="Calibri"/>
                <w:b w:val="0"/>
                <w:i w:val="0"/>
                <w:color w:val="000000"/>
                <w:sz w:val="16"/>
                <w:spacing w:val="0"/>
                <w:kern w:val="0"/>
              </w:rPr>
              <w:t xml:space="preserve"> | </w:t>
            </w:r>
            <w:r>
              <w:rPr>
                <w:rFonts w:ascii="Calibri" w:hAnsi="Calibri"/>
                <w:b w:val="0"/>
                <w:i/>
                <w:color w:val="000000"/>
                <w:sz w:val="16"/>
                <w:spacing w:val="0"/>
                <w:kern w:val="0"/>
              </w:rPr>
              <w:t>Verified QC records + 4 work-time records (Purely Plant content only)</w:t>
            </w:r>
          </w:p>
        </w:tc>
      </w:tr>
    </w:tbl>
    <w:p>
      <w:pPr>
        <w:spacing w:before="140" w:after="60"/>
      </w:pPr>
      <w:r>
        <w:rPr>
          <w:rFonts w:ascii="Calibri" w:hAnsi="Calibri"/>
          <w:b/>
          <w:i w:val="0"/>
          <w:color w:val="2B547E"/>
          <w:sz w:val="26"/>
          <w:spacing w:val="0"/>
          <w:kern w:val="0"/>
        </w:rPr>
        <w:t>Одобрување | Approval</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835"/>
        <w:gridCol w:w="3095"/>
        <w:gridCol w:w="1984"/>
        <w:gridCol w:w="2551"/>
      </w:tblGrid>
      <w:tr>
        <w:trPr>
          <w:tblHeader w:val="true"/>
        </w:trPr>
        <w:tc>
          <w:tcPr>
            <w:shd w:val="clear" w:color="auto" w:fill="2B547E"/>
            <w:vAlign w:val="center"/>
            <w:tcW w:type="dxa" w:w="2835"/>
          </w:tcPr>
          <w:p>
            <w:pPr>
              <w:spacing w:before="20" w:after="20"/>
              <w:jc w:val="center"/>
            </w:pPr>
            <w:r>
              <w:rPr>
                <w:spacing w:val="0"/>
                <w:kern w:val="0"/>
              </w:rPr>
            </w:r>
            <w:r>
              <w:rPr>
                <w:rFonts w:ascii="Calibri" w:hAnsi="Calibri"/>
                <w:b/>
                <w:i w:val="0"/>
                <w:color w:val="FFFFFF"/>
                <w:sz w:val="20"/>
                <w:spacing w:val="0"/>
                <w:kern w:val="0"/>
              </w:rPr>
              <w:t>Дејство</w:t>
            </w:r>
            <w:r>
              <w:rPr>
                <w:rFonts w:ascii="Calibri" w:hAnsi="Calibri"/>
                <w:b w:val="0"/>
                <w:i w:val="0"/>
                <w:color w:val="FFFFFF"/>
                <w:sz w:val="16"/>
                <w:spacing w:val="0"/>
                <w:kern w:val="0"/>
              </w:rPr>
              <w:t xml:space="preserve"> | </w:t>
            </w:r>
            <w:r>
              <w:rPr>
                <w:rFonts w:ascii="Calibri" w:hAnsi="Calibri"/>
                <w:b w:val="0"/>
                <w:i w:val="0"/>
                <w:color w:val="FFFFFF"/>
                <w:sz w:val="16"/>
                <w:spacing w:val="0"/>
                <w:kern w:val="0"/>
              </w:rPr>
              <w:t>Action</w:t>
            </w:r>
          </w:p>
        </w:tc>
        <w:tc>
          <w:tcPr>
            <w:shd w:val="clear" w:color="auto" w:fill="2B547E"/>
            <w:vAlign w:val="center"/>
            <w:tcW w:type="dxa" w:w="3095"/>
          </w:tcPr>
          <w:p>
            <w:pPr>
              <w:spacing w:before="20" w:after="20"/>
              <w:jc w:val="center"/>
            </w:pPr>
            <w:r>
              <w:rPr>
                <w:spacing w:val="0"/>
                <w:kern w:val="0"/>
              </w:rPr>
            </w:r>
            <w:r>
              <w:rPr>
                <w:rFonts w:ascii="Calibri" w:hAnsi="Calibri"/>
                <w:b/>
                <w:i w:val="0"/>
                <w:color w:val="FFFFFF"/>
                <w:sz w:val="20"/>
                <w:spacing w:val="0"/>
                <w:kern w:val="0"/>
              </w:rPr>
              <w:t>Име/Позиција</w:t>
            </w:r>
            <w:r>
              <w:rPr>
                <w:rFonts w:ascii="Calibri" w:hAnsi="Calibri"/>
                <w:b w:val="0"/>
                <w:i w:val="0"/>
                <w:color w:val="FFFFFF"/>
                <w:sz w:val="16"/>
                <w:spacing w:val="0"/>
                <w:kern w:val="0"/>
              </w:rPr>
              <w:t xml:space="preserve"> | </w:t>
            </w:r>
            <w:r>
              <w:rPr>
                <w:rFonts w:ascii="Calibri" w:hAnsi="Calibri"/>
                <w:b w:val="0"/>
                <w:i w:val="0"/>
                <w:color w:val="FFFFFF"/>
                <w:sz w:val="16"/>
                <w:spacing w:val="0"/>
                <w:kern w:val="0"/>
              </w:rPr>
              <w:t>Name/Position</w:t>
            </w:r>
          </w:p>
        </w:tc>
        <w:tc>
          <w:tcPr>
            <w:shd w:val="clear" w:color="auto" w:fill="2B547E"/>
            <w:vAlign w:val="center"/>
            <w:tcW w:type="dxa" w:w="1984"/>
          </w:tcPr>
          <w:p>
            <w:pPr>
              <w:spacing w:before="20" w:after="20"/>
              <w:jc w:val="center"/>
            </w:pPr>
            <w:r>
              <w:rPr>
                <w:spacing w:val="0"/>
                <w:kern w:val="0"/>
              </w:rPr>
            </w:r>
            <w:r>
              <w:rPr>
                <w:rFonts w:ascii="Calibri" w:hAnsi="Calibri"/>
                <w:b/>
                <w:i w:val="0"/>
                <w:color w:val="FFFFFF"/>
                <w:sz w:val="20"/>
                <w:spacing w:val="0"/>
                <w:kern w:val="0"/>
              </w:rPr>
              <w:t>Датум</w:t>
            </w:r>
            <w:r>
              <w:rPr>
                <w:rFonts w:ascii="Calibri" w:hAnsi="Calibri"/>
                <w:b w:val="0"/>
                <w:i w:val="0"/>
                <w:color w:val="FFFFFF"/>
                <w:sz w:val="16"/>
                <w:spacing w:val="0"/>
                <w:kern w:val="0"/>
              </w:rPr>
              <w:t xml:space="preserve"> | </w:t>
            </w:r>
            <w:r>
              <w:rPr>
                <w:rFonts w:ascii="Calibri" w:hAnsi="Calibri"/>
                <w:b w:val="0"/>
                <w:i w:val="0"/>
                <w:color w:val="FFFFFF"/>
                <w:sz w:val="16"/>
                <w:spacing w:val="0"/>
                <w:kern w:val="0"/>
              </w:rPr>
              <w:t>Date</w:t>
            </w:r>
          </w:p>
        </w:tc>
        <w:tc>
          <w:tcPr>
            <w:shd w:val="clear" w:color="auto" w:fill="2B547E"/>
            <w:vAlign w:val="center"/>
            <w:tcW w:type="dxa" w:w="2551"/>
          </w:tcPr>
          <w:p>
            <w:pPr>
              <w:spacing w:before="20" w:after="20"/>
              <w:jc w:val="center"/>
            </w:pPr>
            <w:r>
              <w:rPr>
                <w:spacing w:val="0"/>
                <w:kern w:val="0"/>
              </w:rPr>
            </w:r>
            <w:r>
              <w:rPr>
                <w:rFonts w:ascii="Calibri" w:hAnsi="Calibri"/>
                <w:b/>
                <w:i w:val="0"/>
                <w:color w:val="FFFFFF"/>
                <w:sz w:val="20"/>
                <w:spacing w:val="0"/>
                <w:kern w:val="0"/>
              </w:rPr>
              <w:t>Потпис</w:t>
            </w:r>
            <w:r>
              <w:rPr>
                <w:rFonts w:ascii="Calibri" w:hAnsi="Calibri"/>
                <w:b w:val="0"/>
                <w:i w:val="0"/>
                <w:color w:val="FFFFFF"/>
                <w:sz w:val="16"/>
                <w:spacing w:val="0"/>
                <w:kern w:val="0"/>
              </w:rPr>
              <w:t xml:space="preserve"> | </w:t>
            </w:r>
            <w:r>
              <w:rPr>
                <w:rFonts w:ascii="Calibri" w:hAnsi="Calibri"/>
                <w:b w:val="0"/>
                <w:i w:val="0"/>
                <w:color w:val="FFFFFF"/>
                <w:sz w:val="16"/>
                <w:spacing w:val="0"/>
                <w:kern w:val="0"/>
              </w:rPr>
              <w:t>Signature</w:t>
            </w:r>
          </w:p>
        </w:tc>
      </w:tr>
      <w:tr>
        <w:tc>
          <w:tcPr>
            <w:vAlign w:val="center"/>
            <w:tcW w:type="dxa" w:w="2835"/>
          </w:tcPr>
          <w:p>
            <w:pPr>
              <w:spacing w:before="20" w:after="20"/>
              <w:jc w:val="center"/>
            </w:pPr>
            <w:r>
              <w:rPr>
                <w:spacing w:val="0"/>
                <w:kern w:val="0"/>
              </w:rPr>
            </w:r>
            <w:r>
              <w:rPr>
                <w:rFonts w:ascii="Calibri" w:hAnsi="Calibri"/>
                <w:b w:val="0"/>
                <w:i w:val="0"/>
                <w:color w:val="000000"/>
                <w:sz w:val="20"/>
                <w:spacing w:val="0"/>
                <w:kern w:val="0"/>
              </w:rPr>
              <w:t>Изготвил</w:t>
            </w:r>
            <w:r>
              <w:rPr>
                <w:rFonts w:ascii="Calibri" w:hAnsi="Calibri"/>
                <w:b w:val="0"/>
                <w:i w:val="0"/>
                <w:color w:val="000000"/>
                <w:sz w:val="16"/>
                <w:spacing w:val="0"/>
                <w:kern w:val="0"/>
              </w:rPr>
              <w:t xml:space="preserve"> | </w:t>
            </w:r>
            <w:r>
              <w:rPr>
                <w:rFonts w:ascii="Calibri" w:hAnsi="Calibri"/>
                <w:b w:val="0"/>
                <w:i/>
                <w:color w:val="000000"/>
                <w:sz w:val="16"/>
                <w:spacing w:val="0"/>
                <w:kern w:val="0"/>
              </w:rPr>
              <w:t>Prepared (QC Head)</w:t>
            </w:r>
          </w:p>
        </w:tc>
        <w:tc>
          <w:tcPr>
            <w:vAlign w:val="center"/>
            <w:tcW w:type="dxa" w:w="3095"/>
          </w:tcPr>
          <w:p>
            <w:pPr>
              <w:spacing w:before="20" w:after="20"/>
              <w:jc w:val="center"/>
            </w:pPr>
            <w:r>
              <w:rPr>
                <w:spacing w:val="0"/>
                <w:kern w:val="0"/>
              </w:rPr>
            </w:r>
            <w:r>
              <w:rPr>
                <w:rFonts w:ascii="Calibri" w:hAnsi="Calibri"/>
                <w:b w:val="0"/>
                <w:i w:val="0"/>
                <w:color w:val="000000"/>
                <w:sz w:val="20"/>
                <w:spacing w:val="0"/>
                <w:kern w:val="0"/>
              </w:rPr>
              <w:t>B. Nikolov, M.Pharm.</w:t>
            </w:r>
          </w:p>
        </w:tc>
        <w:tc>
          <w:tcPr>
            <w:vAlign w:val="center"/>
            <w:tcW w:type="dxa" w:w="1984"/>
          </w:tcPr>
          <w:p>
            <w:pPr>
              <w:spacing w:before="20" w:after="20"/>
              <w:jc w:val="center"/>
            </w:pPr>
            <w:r>
              <w:rPr>
                <w:spacing w:val="0"/>
                <w:kern w:val="0"/>
              </w:rPr>
            </w:r>
          </w:p>
        </w:tc>
        <w:tc>
          <w:tcPr>
            <w:vAlign w:val="center"/>
            <w:tcW w:type="dxa" w:w="2551"/>
          </w:tcPr>
          <w:p>
            <w:pPr>
              <w:spacing w:before="20" w:after="20"/>
              <w:jc w:val="center"/>
            </w:pPr>
            <w:r>
              <w:rPr>
                <w:spacing w:val="0"/>
                <w:kern w:val="0"/>
              </w:rPr>
            </w:r>
          </w:p>
        </w:tc>
      </w:tr>
      <w:tr>
        <w:tc>
          <w:tcPr>
            <w:vAlign w:val="center"/>
            <w:tcW w:type="dxa" w:w="2835"/>
          </w:tcPr>
          <w:p>
            <w:pPr>
              <w:spacing w:before="20" w:after="20"/>
              <w:jc w:val="center"/>
            </w:pPr>
            <w:r>
              <w:rPr>
                <w:spacing w:val="0"/>
                <w:kern w:val="0"/>
              </w:rPr>
            </w:r>
            <w:r>
              <w:rPr>
                <w:rFonts w:ascii="Calibri" w:hAnsi="Calibri"/>
                <w:b w:val="0"/>
                <w:i w:val="0"/>
                <w:color w:val="000000"/>
                <w:sz w:val="20"/>
                <w:spacing w:val="0"/>
                <w:kern w:val="0"/>
              </w:rPr>
              <w:t>Прегледал</w:t>
            </w:r>
            <w:r>
              <w:rPr>
                <w:rFonts w:ascii="Calibri" w:hAnsi="Calibri"/>
                <w:b w:val="0"/>
                <w:i w:val="0"/>
                <w:color w:val="000000"/>
                <w:sz w:val="16"/>
                <w:spacing w:val="0"/>
                <w:kern w:val="0"/>
              </w:rPr>
              <w:t xml:space="preserve"> | </w:t>
            </w:r>
            <w:r>
              <w:rPr>
                <w:rFonts w:ascii="Calibri" w:hAnsi="Calibri"/>
                <w:b w:val="0"/>
                <w:i/>
                <w:color w:val="000000"/>
                <w:sz w:val="16"/>
                <w:spacing w:val="0"/>
                <w:kern w:val="0"/>
              </w:rPr>
              <w:t>Reviewed (QA)</w:t>
            </w:r>
          </w:p>
        </w:tc>
        <w:tc>
          <w:tcPr>
            <w:vAlign w:val="center"/>
            <w:tcW w:type="dxa" w:w="3095"/>
          </w:tcPr>
          <w:p>
            <w:pPr>
              <w:spacing w:before="20" w:after="20"/>
              <w:jc w:val="center"/>
            </w:pPr>
            <w:r>
              <w:rPr>
                <w:spacing w:val="0"/>
                <w:kern w:val="0"/>
              </w:rPr>
            </w:r>
            <w:r>
              <w:rPr>
                <w:rFonts w:ascii="Calibri" w:hAnsi="Calibri"/>
                <w:b w:val="0"/>
                <w:i w:val="0"/>
                <w:color w:val="000000"/>
                <w:sz w:val="20"/>
                <w:spacing w:val="0"/>
                <w:kern w:val="0"/>
              </w:rPr>
              <w:t>J. Romevska</w:t>
            </w:r>
          </w:p>
        </w:tc>
        <w:tc>
          <w:tcPr>
            <w:vAlign w:val="center"/>
            <w:tcW w:type="dxa" w:w="1984"/>
          </w:tcPr>
          <w:p>
            <w:pPr>
              <w:spacing w:before="20" w:after="20"/>
              <w:jc w:val="center"/>
            </w:pPr>
            <w:r>
              <w:rPr>
                <w:spacing w:val="0"/>
                <w:kern w:val="0"/>
              </w:rPr>
            </w:r>
          </w:p>
        </w:tc>
        <w:tc>
          <w:tcPr>
            <w:vAlign w:val="center"/>
            <w:tcW w:type="dxa" w:w="2551"/>
          </w:tcPr>
          <w:p>
            <w:pPr>
              <w:spacing w:before="20" w:after="20"/>
              <w:jc w:val="center"/>
            </w:pPr>
            <w:r>
              <w:rPr>
                <w:spacing w:val="0"/>
                <w:kern w:val="0"/>
              </w:rPr>
            </w:r>
          </w:p>
        </w:tc>
      </w:tr>
      <w:tr>
        <w:tc>
          <w:tcPr>
            <w:vAlign w:val="center"/>
            <w:tcW w:type="dxa" w:w="2835"/>
          </w:tcPr>
          <w:p>
            <w:pPr>
              <w:spacing w:before="20" w:after="20"/>
              <w:jc w:val="center"/>
            </w:pPr>
            <w:r>
              <w:rPr>
                <w:spacing w:val="0"/>
                <w:kern w:val="0"/>
              </w:rPr>
            </w:r>
            <w:r>
              <w:rPr>
                <w:rFonts w:ascii="Calibri" w:hAnsi="Calibri"/>
                <w:b w:val="0"/>
                <w:i w:val="0"/>
                <w:color w:val="000000"/>
                <w:sz w:val="20"/>
                <w:spacing w:val="0"/>
                <w:kern w:val="0"/>
              </w:rPr>
              <w:t>Одобрил (Раководител КК)</w:t>
            </w:r>
            <w:r>
              <w:rPr>
                <w:rFonts w:ascii="Calibri" w:hAnsi="Calibri"/>
                <w:b w:val="0"/>
                <w:i w:val="0"/>
                <w:color w:val="000000"/>
                <w:sz w:val="16"/>
                <w:spacing w:val="0"/>
                <w:kern w:val="0"/>
              </w:rPr>
              <w:t xml:space="preserve"> | </w:t>
            </w:r>
            <w:r>
              <w:rPr>
                <w:rFonts w:ascii="Calibri" w:hAnsi="Calibri"/>
                <w:b w:val="0"/>
                <w:i/>
                <w:color w:val="000000"/>
                <w:sz w:val="16"/>
                <w:spacing w:val="0"/>
                <w:kern w:val="0"/>
              </w:rPr>
              <w:t>Approved (QC Manager)</w:t>
            </w:r>
          </w:p>
        </w:tc>
        <w:tc>
          <w:tcPr>
            <w:vAlign w:val="center"/>
            <w:tcW w:type="dxa" w:w="3095"/>
          </w:tcPr>
          <w:p>
            <w:pPr>
              <w:spacing w:before="20" w:after="20"/>
              <w:jc w:val="center"/>
            </w:pPr>
            <w:r>
              <w:rPr>
                <w:spacing w:val="0"/>
                <w:kern w:val="0"/>
              </w:rPr>
            </w:r>
            <w:r>
              <w:rPr>
                <w:rFonts w:ascii="Calibri" w:hAnsi="Calibri"/>
                <w:b w:val="0"/>
                <w:i w:val="0"/>
                <w:color w:val="000000"/>
                <w:sz w:val="20"/>
                <w:spacing w:val="0"/>
                <w:kern w:val="0"/>
              </w:rPr>
              <w:t>B. Nikolov, M.Pharm.</w:t>
            </w:r>
          </w:p>
        </w:tc>
        <w:tc>
          <w:tcPr>
            <w:vAlign w:val="center"/>
            <w:tcW w:type="dxa" w:w="1984"/>
          </w:tcPr>
          <w:p>
            <w:pPr>
              <w:spacing w:before="20" w:after="20"/>
              <w:jc w:val="center"/>
            </w:pPr>
            <w:r>
              <w:rPr>
                <w:spacing w:val="0"/>
                <w:kern w:val="0"/>
              </w:rPr>
            </w:r>
          </w:p>
        </w:tc>
        <w:tc>
          <w:tcPr>
            <w:vAlign w:val="center"/>
            <w:tcW w:type="dxa" w:w="2551"/>
          </w:tcPr>
          <w:p>
            <w:pPr>
              <w:spacing w:before="20" w:after="20"/>
              <w:jc w:val="center"/>
            </w:pPr>
            <w:r>
              <w:rPr>
                <w:spacing w:val="0"/>
                <w:kern w:val="0"/>
              </w:rPr>
            </w:r>
          </w:p>
        </w:tc>
      </w:tr>
    </w:tbl>
    <w:p>
      <w:pPr>
        <w:spacing w:before="200" w:after="0"/>
        <w:jc w:val="center"/>
      </w:pPr>
      <w:r>
        <w:rPr>
          <w:rFonts w:ascii="Calibri" w:hAnsi="Calibri"/>
          <w:b w:val="0"/>
          <w:i/>
          <w:color w:val="595959"/>
          <w:sz w:val="16"/>
          <w:spacing w:val="0"/>
          <w:kern w:val="0"/>
        </w:rPr>
        <w:t>Неформален работен документ — не е контролиран запис | Informal working document — not a controlled record</w:t>
      </w:r>
    </w:p>
    <w:p>
      <w:r>
        <w:rPr>
          <w:spacing w:val="0"/>
          <w:kern w:val="0"/>
        </w:rPr>
        <w:br w:type="page"/>
      </w:r>
    </w:p>
    <w:p>
      <w:pPr>
        <w:spacing w:before="240" w:after="140"/>
        <w:outlineLvl w:val="0"/>
      </w:pPr>
      <w:r>
        <w:rPr>
          <w:rFonts w:ascii="Calibri" w:hAnsi="Calibri"/>
          <w:b/>
          <w:i w:val="0"/>
          <w:color w:val="2B547E"/>
          <w:sz w:val="40"/>
          <w:spacing w:val="0"/>
          <w:kern w:val="0"/>
        </w:rPr>
        <w:t>1.  ПРАШАЊА ШТО БАРААТ ВНИМАНИЕ</w:t>
      </w:r>
      <w:r>
        <w:rPr>
          <w:rFonts w:ascii="Calibri" w:hAnsi="Calibri"/>
          <w:b w:val="0"/>
          <w:i w:val="0"/>
          <w:color w:val="595959"/>
          <w:sz w:val="36"/>
          <w:spacing w:val="0"/>
          <w:kern w:val="0"/>
        </w:rPr>
        <w:t xml:space="preserve">  |  </w:t>
      </w:r>
      <w:r>
        <w:rPr>
          <w:rFonts w:ascii="Calibri" w:hAnsi="Calibri"/>
          <w:b w:val="0"/>
          <w:i w:val="0"/>
          <w:color w:val="595959"/>
          <w:sz w:val="32"/>
          <w:spacing w:val="0"/>
          <w:kern w:val="0"/>
        </w:rPr>
        <w:t>Issues Requiring Attention</w:t>
      </w:r>
    </w:p>
    <w:p>
      <w:pPr>
        <w:spacing w:before="40" w:after="40" w:line="254" w:lineRule="auto"/>
        <w:jc w:val="left"/>
      </w:pPr>
      <w:r>
        <w:rPr>
          <w:rFonts w:ascii="Calibri" w:hAnsi="Calibri"/>
          <w:b w:val="0"/>
          <w:i/>
          <w:color w:val="4A5B6C"/>
          <w:sz w:val="18"/>
          <w:spacing w:val="0"/>
          <w:kern w:val="0"/>
        </w:rPr>
        <w:t>Секое прашање подолу влијае на капацитетот за ослободување на производ или на подготвеноста за добра производна пракса, според правилото на сопственикот за истакнување прашања. Роковите за решавање ги определува Раководителот на Контрола на квалитет. | Each issue below affects release capacity or manufacturing-practice readiness, per the owner's issue-highlighting rule. Resolution dates are set by the QC Manager.</w:t>
      </w:r>
    </w:p>
    <w:tbl>
      <w:tblPr>
        <w:tblW w:type="auto" w:w="0"/>
        <w:tblLayout w:type="fixed"/>
        <w:tblLook w:firstColumn="1" w:firstRow="1" w:lastColumn="0" w:lastRow="0" w:noHBand="0" w:noVBand="1" w:val="04A0"/>
      </w:tblPr>
      <w:tblGrid>
        <w:gridCol w:w="3489"/>
        <w:gridCol w:w="3489"/>
        <w:gridCol w:w="3489"/>
      </w:tblGrid>
      <w:tr>
        <w:tc>
          <w:tcPr>
            <w:tcW w:type="dxa" w:w="624"/>
            <w:vAlign w:val="center"/>
            <w:shd w:val="clear" w:color="auto" w:fill="2B547E"/>
          </w:tcPr>
          <w:p>
            <w:pPr>
              <w:spacing w:before="20" w:after="20"/>
              <w:jc w:val="center"/>
            </w:pPr>
            <w:r>
              <w:rPr>
                <w:rFonts w:ascii="Calibri" w:hAnsi="Calibri"/>
                <w:b/>
                <w:color w:val="FFFFFF"/>
                <w:sz w:val="16"/>
                <w:spacing w:val="0"/>
                <w:kern w:val="0"/>
              </w:rPr>
              <w:t>№</w:t>
            </w:r>
          </w:p>
        </w:tc>
        <w:tc>
          <w:tcPr>
            <w:tcW w:type="dxa" w:w="7483"/>
            <w:vAlign w:val="center"/>
            <w:shd w:val="clear" w:color="auto" w:fill="2B547E"/>
          </w:tcPr>
          <w:p>
            <w:pPr>
              <w:spacing w:before="20" w:after="20"/>
              <w:jc w:val="center"/>
            </w:pPr>
            <w:r>
              <w:rPr>
                <w:rFonts w:ascii="Calibri" w:hAnsi="Calibri"/>
                <w:b/>
                <w:color w:val="FFFFFF"/>
                <w:sz w:val="16"/>
                <w:spacing w:val="0"/>
                <w:kern w:val="0"/>
              </w:rPr>
              <w:t>Прашање | Issue</w:t>
            </w:r>
          </w:p>
        </w:tc>
        <w:tc>
          <w:tcPr>
            <w:tcW w:type="dxa" w:w="1871"/>
            <w:vAlign w:val="center"/>
            <w:shd w:val="clear" w:color="auto" w:fill="2B547E"/>
          </w:tcPr>
          <w:p>
            <w:pPr>
              <w:spacing w:before="20" w:after="20"/>
              <w:jc w:val="center"/>
            </w:pPr>
            <w:r>
              <w:rPr>
                <w:rFonts w:ascii="Calibri" w:hAnsi="Calibri"/>
                <w:b/>
                <w:color w:val="FFFFFF"/>
                <w:sz w:val="16"/>
                <w:spacing w:val="0"/>
                <w:kern w:val="0"/>
              </w:rPr>
              <w:t>Рок | Resolution</w:t>
            </w:r>
          </w:p>
        </w:tc>
      </w:tr>
      <w:tr>
        <w:tc>
          <w:tcPr>
            <w:tcW w:type="dxa" w:w="624"/>
            <w:vAlign w:val="center"/>
            <w:shd w:val="clear" w:color="auto" w:fill="FDECEA"/>
          </w:tcPr>
          <w:p>
            <w:pPr>
              <w:spacing w:before="20" w:after="20"/>
              <w:jc w:val="left"/>
            </w:pPr>
            <w:r>
              <w:rPr>
                <w:rFonts w:ascii="Calibri" w:hAnsi="Calibri"/>
                <w:b w:val="0"/>
                <w:color w:val="16232B"/>
                <w:sz w:val="16"/>
                <w:spacing w:val="0"/>
                <w:kern w:val="0"/>
              </w:rPr>
              <w:t>И-1</w:t>
            </w:r>
          </w:p>
        </w:tc>
        <w:tc>
          <w:tcPr>
            <w:tcW w:type="dxa" w:w="7483"/>
            <w:vAlign w:val="center"/>
            <w:shd w:val="clear" w:color="auto" w:fill="FDECEA"/>
          </w:tcPr>
          <w:p>
            <w:pPr>
              <w:spacing w:before="20" w:after="20"/>
              <w:jc w:val="left"/>
            </w:pPr>
            <w:r>
              <w:rPr>
                <w:rFonts w:ascii="Calibri" w:hAnsi="Calibri"/>
                <w:b w:val="0"/>
                <w:color w:val="16232B"/>
                <w:sz w:val="16"/>
                <w:spacing w:val="0"/>
                <w:kern w:val="0"/>
              </w:rPr>
              <w:t>Резултат надвор од спецификација — серија FB032601, странични материи | Result out of specification — batch FB032601, foreign matter (лабораторија CNP, серија сертификати ППК26127): 0,08% Не одговара — присутна семка; истрага во тек по СОП QCSOP 019 | 0.08% NON-CONFORM — seed present; investigation under way per QCSOP 019</w:t>
            </w:r>
          </w:p>
        </w:tc>
        <w:tc>
          <w:tcPr>
            <w:tcW w:type="dxa" w:w="1871"/>
            <w:vAlign w:val="center"/>
            <w:shd w:val="clear" w:color="auto" w:fill="FDECEA"/>
          </w:tcPr>
          <w:p>
            <w:pPr>
              <w:spacing w:before="20" w:after="20"/>
              <w:jc w:val="left"/>
            </w:pPr>
            <w:r>
              <w:rPr>
                <w:rFonts w:ascii="Calibri" w:hAnsi="Calibri"/>
                <w:b w:val="0"/>
                <w:color w:val="16232B"/>
                <w:sz w:val="16"/>
                <w:spacing w:val="0"/>
                <w:kern w:val="0"/>
              </w:rPr>
              <w:t>датум: во очекување | date: pending</w:t>
            </w:r>
          </w:p>
        </w:tc>
      </w:tr>
      <w:tr>
        <w:tc>
          <w:tcPr>
            <w:tcW w:type="dxa" w:w="624"/>
            <w:vAlign w:val="center"/>
            <w:shd w:val="clear" w:color="auto" w:fill="FDECEA"/>
          </w:tcPr>
          <w:p>
            <w:pPr>
              <w:spacing w:before="20" w:after="20"/>
              <w:jc w:val="left"/>
            </w:pPr>
            <w:r>
              <w:rPr>
                <w:rFonts w:ascii="Calibri" w:hAnsi="Calibri"/>
                <w:b w:val="0"/>
                <w:color w:val="16232B"/>
                <w:sz w:val="16"/>
                <w:spacing w:val="0"/>
                <w:kern w:val="0"/>
              </w:rPr>
              <w:t>И-2</w:t>
            </w:r>
          </w:p>
        </w:tc>
        <w:tc>
          <w:tcPr>
            <w:tcW w:type="dxa" w:w="7483"/>
            <w:vAlign w:val="center"/>
            <w:shd w:val="clear" w:color="auto" w:fill="FDECEA"/>
          </w:tcPr>
          <w:p>
            <w:pPr>
              <w:spacing w:before="20" w:after="20"/>
              <w:jc w:val="left"/>
            </w:pPr>
            <w:r>
              <w:rPr>
                <w:rFonts w:ascii="Calibri" w:hAnsi="Calibri"/>
                <w:b w:val="0"/>
                <w:color w:val="16232B"/>
                <w:sz w:val="16"/>
                <w:spacing w:val="0"/>
                <w:kern w:val="0"/>
              </w:rPr>
              <w:t>Неархивирани сертификати (микробиологија/тешки метали/пестициди) за 7 серии | Unfiled micro/heavy-metals/pesticide certificates for 7 batches — FB012601/1, GRC102501/2, JD012603/2, JD012603/2V, KC102501, PM112501, SCR112501; редот за ослободување е блокиран додека не се внесат | release queue blocked pending entry</w:t>
            </w:r>
          </w:p>
        </w:tc>
        <w:tc>
          <w:tcPr>
            <w:tcW w:type="dxa" w:w="1871"/>
            <w:vAlign w:val="center"/>
            <w:shd w:val="clear" w:color="auto" w:fill="FDECEA"/>
          </w:tcPr>
          <w:p>
            <w:pPr>
              <w:spacing w:before="20" w:after="20"/>
              <w:jc w:val="left"/>
            </w:pPr>
            <w:r>
              <w:rPr>
                <w:rFonts w:ascii="Calibri" w:hAnsi="Calibri"/>
                <w:b w:val="0"/>
                <w:color w:val="16232B"/>
                <w:sz w:val="16"/>
                <w:spacing w:val="0"/>
                <w:kern w:val="0"/>
              </w:rPr>
              <w:t>датум: во очекување | date: pending</w:t>
            </w:r>
          </w:p>
        </w:tc>
      </w:tr>
      <w:tr>
        <w:tc>
          <w:tcPr>
            <w:tcW w:type="dxa" w:w="624"/>
            <w:vAlign w:val="center"/>
            <w:shd w:val="clear" w:color="auto" w:fill="FDECEA"/>
          </w:tcPr>
          <w:p>
            <w:pPr>
              <w:spacing w:before="20" w:after="20"/>
              <w:jc w:val="left"/>
            </w:pPr>
            <w:r>
              <w:rPr>
                <w:rFonts w:ascii="Calibri" w:hAnsi="Calibri"/>
                <w:b w:val="0"/>
                <w:color w:val="16232B"/>
                <w:sz w:val="16"/>
                <w:spacing w:val="0"/>
                <w:kern w:val="0"/>
              </w:rPr>
              <w:t>И-3</w:t>
            </w:r>
          </w:p>
        </w:tc>
        <w:tc>
          <w:tcPr>
            <w:tcW w:type="dxa" w:w="7483"/>
            <w:vAlign w:val="center"/>
            <w:shd w:val="clear" w:color="auto" w:fill="FDECEA"/>
          </w:tcPr>
          <w:p>
            <w:pPr>
              <w:spacing w:before="20" w:after="20"/>
              <w:jc w:val="left"/>
            </w:pPr>
            <w:r>
              <w:rPr>
                <w:rFonts w:ascii="Calibri" w:hAnsi="Calibri"/>
                <w:b w:val="0"/>
                <w:color w:val="16232B"/>
                <w:sz w:val="16"/>
                <w:spacing w:val="0"/>
                <w:kern w:val="0"/>
              </w:rPr>
              <w:t>9 серии без ниту еден сертификат за анализа во базата | 9 batches with no certificate of analysis on file: ACC102501, BSS1024_01/1, CC012603, CF102501, GRC102501/1, JD012603/01, PUM102501, SCR012601, WED102501</w:t>
            </w:r>
          </w:p>
        </w:tc>
        <w:tc>
          <w:tcPr>
            <w:tcW w:type="dxa" w:w="1871"/>
            <w:vAlign w:val="center"/>
            <w:shd w:val="clear" w:color="auto" w:fill="FDECEA"/>
          </w:tcPr>
          <w:p>
            <w:pPr>
              <w:spacing w:before="20" w:after="20"/>
              <w:jc w:val="left"/>
            </w:pPr>
            <w:r>
              <w:rPr>
                <w:rFonts w:ascii="Calibri" w:hAnsi="Calibri"/>
                <w:b w:val="0"/>
                <w:color w:val="16232B"/>
                <w:sz w:val="16"/>
                <w:spacing w:val="0"/>
                <w:kern w:val="0"/>
              </w:rPr>
              <w:t>датум: во очекување | date: pending</w:t>
            </w:r>
          </w:p>
        </w:tc>
      </w:tr>
      <w:tr>
        <w:tc>
          <w:tcPr>
            <w:tcW w:type="dxa" w:w="624"/>
            <w:vAlign w:val="center"/>
            <w:shd w:val="clear" w:color="auto" w:fill="FDECEA"/>
          </w:tcPr>
          <w:p>
            <w:pPr>
              <w:spacing w:before="20" w:after="20"/>
              <w:jc w:val="left"/>
            </w:pPr>
            <w:r>
              <w:rPr>
                <w:rFonts w:ascii="Calibri" w:hAnsi="Calibri"/>
                <w:b w:val="0"/>
                <w:color w:val="16232B"/>
                <w:sz w:val="16"/>
                <w:spacing w:val="0"/>
                <w:kern w:val="0"/>
              </w:rPr>
              <w:t>И-4</w:t>
            </w:r>
          </w:p>
        </w:tc>
        <w:tc>
          <w:tcPr>
            <w:tcW w:type="dxa" w:w="7483"/>
            <w:vAlign w:val="center"/>
            <w:shd w:val="clear" w:color="auto" w:fill="FDECEA"/>
          </w:tcPr>
          <w:p>
            <w:pPr>
              <w:spacing w:before="20" w:after="20"/>
              <w:jc w:val="left"/>
            </w:pPr>
            <w:r>
              <w:rPr>
                <w:rFonts w:ascii="Calibri" w:hAnsi="Calibri"/>
                <w:b w:val="0"/>
                <w:color w:val="16232B"/>
                <w:sz w:val="16"/>
                <w:spacing w:val="0"/>
                <w:kern w:val="0"/>
              </w:rPr>
              <w:t>Недостасуваат податоци за фенотип/хемотип за 6 сорти + конфликт меѓу изворите за потеклото на семето на Gorilla Glue | Phenotype/chemotype data missing for 6 strains + a source conflict on Gorilla Glue's seed origin — ги блокира спецификациите за производ додека не се потврдат | blocks the product specifications until confirmed</w:t>
            </w:r>
          </w:p>
        </w:tc>
        <w:tc>
          <w:tcPr>
            <w:tcW w:type="dxa" w:w="1871"/>
            <w:vAlign w:val="center"/>
            <w:shd w:val="clear" w:color="auto" w:fill="FDECEA"/>
          </w:tcPr>
          <w:p>
            <w:pPr>
              <w:spacing w:before="20" w:after="20"/>
              <w:jc w:val="left"/>
            </w:pPr>
            <w:r>
              <w:rPr>
                <w:rFonts w:ascii="Calibri" w:hAnsi="Calibri"/>
                <w:b w:val="0"/>
                <w:color w:val="16232B"/>
                <w:sz w:val="16"/>
                <w:spacing w:val="0"/>
                <w:kern w:val="0"/>
              </w:rPr>
              <w:t>датум: во очекување | date: pending</w:t>
            </w:r>
          </w:p>
        </w:tc>
      </w:tr>
      <w:tr>
        <w:tc>
          <w:tcPr>
            <w:tcW w:type="dxa" w:w="624"/>
            <w:vAlign w:val="center"/>
            <w:shd w:val="clear" w:color="auto" w:fill="FDECEA"/>
          </w:tcPr>
          <w:p>
            <w:pPr>
              <w:spacing w:before="20" w:after="20"/>
              <w:jc w:val="left"/>
            </w:pPr>
            <w:r>
              <w:rPr>
                <w:rFonts w:ascii="Calibri" w:hAnsi="Calibri"/>
                <w:b w:val="0"/>
                <w:color w:val="16232B"/>
                <w:sz w:val="16"/>
                <w:spacing w:val="0"/>
                <w:kern w:val="0"/>
              </w:rPr>
              <w:t>И-5</w:t>
            </w:r>
          </w:p>
        </w:tc>
        <w:tc>
          <w:tcPr>
            <w:tcW w:type="dxa" w:w="7483"/>
            <w:vAlign w:val="center"/>
            <w:shd w:val="clear" w:color="auto" w:fill="FDECEA"/>
          </w:tcPr>
          <w:p>
            <w:pPr>
              <w:spacing w:before="20" w:after="20"/>
              <w:jc w:val="left"/>
            </w:pPr>
            <w:r>
              <w:rPr>
                <w:rFonts w:ascii="Calibri" w:hAnsi="Calibri"/>
                <w:b w:val="0"/>
                <w:color w:val="16232B"/>
                <w:sz w:val="16"/>
                <w:spacing w:val="0"/>
                <w:kern w:val="0"/>
              </w:rPr>
              <w:t>127 предложени интерни сертификати (за домашно определени странични материи и идентификација) и 95 предложени сертификати за квалитет чекаат формално издавање преку Регистарот за издавање сертификати | 127 proposed in-house certificates (declared foreign-matter and identification determinations) and 95 proposed certificates of quality await formal issuance through the Certificate Issuance Register</w:t>
            </w:r>
          </w:p>
        </w:tc>
        <w:tc>
          <w:tcPr>
            <w:tcW w:type="dxa" w:w="1871"/>
            <w:vAlign w:val="center"/>
            <w:shd w:val="clear" w:color="auto" w:fill="FDECEA"/>
          </w:tcPr>
          <w:p>
            <w:pPr>
              <w:spacing w:before="20" w:after="20"/>
              <w:jc w:val="left"/>
            </w:pPr>
            <w:r>
              <w:rPr>
                <w:rFonts w:ascii="Calibri" w:hAnsi="Calibri"/>
                <w:b w:val="0"/>
                <w:color w:val="16232B"/>
                <w:sz w:val="16"/>
                <w:spacing w:val="0"/>
                <w:kern w:val="0"/>
              </w:rPr>
              <w:t>датум: во очекување | date: pending</w:t>
            </w:r>
          </w:p>
        </w:tc>
      </w:tr>
    </w:tbl>
    <w:p>
      <w:pPr>
        <w:spacing w:before="240" w:after="140"/>
        <w:outlineLvl w:val="0"/>
      </w:pPr>
      <w:r>
        <w:rPr>
          <w:rFonts w:ascii="Calibri" w:hAnsi="Calibri"/>
          <w:b/>
          <w:i w:val="0"/>
          <w:color w:val="2B547E"/>
          <w:sz w:val="40"/>
          <w:spacing w:val="0"/>
          <w:kern w:val="0"/>
        </w:rPr>
        <w:t>2.  ИЗВЕШТАЈ — НЕДЕЛА 10–14.08</w:t>
      </w:r>
      <w:r>
        <w:rPr>
          <w:rFonts w:ascii="Calibri" w:hAnsi="Calibri"/>
          <w:b w:val="0"/>
          <w:i w:val="0"/>
          <w:color w:val="595959"/>
          <w:sz w:val="36"/>
          <w:spacing w:val="0"/>
          <w:kern w:val="0"/>
        </w:rPr>
        <w:t xml:space="preserve">  |  </w:t>
      </w:r>
      <w:r>
        <w:rPr>
          <w:rFonts w:ascii="Calibri" w:hAnsi="Calibri"/>
          <w:b w:val="0"/>
          <w:i w:val="0"/>
          <w:color w:val="595959"/>
          <w:sz w:val="32"/>
          <w:spacing w:val="0"/>
          <w:kern w:val="0"/>
        </w:rPr>
        <w:t>Report — Week Ended 14.08</w:t>
      </w:r>
    </w:p>
    <w:p>
      <w:pPr>
        <w:spacing w:before="160" w:after="80"/>
        <w:outlineLvl w:val="1"/>
      </w:pPr>
      <w:r>
        <w:rPr>
          <w:rFonts w:ascii="Calibri" w:hAnsi="Calibri"/>
          <w:b/>
          <w:i w:val="0"/>
          <w:color w:val="2B547E"/>
          <w:sz w:val="32"/>
          <w:spacing w:val="0"/>
          <w:kern w:val="0"/>
        </w:rPr>
        <w:t>2.1  Визуелни инспекции</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Visual Inspections</w:t>
      </w:r>
    </w:p>
    <w:tbl>
      <w:tblPr>
        <w:tblW w:type="auto" w:w="0"/>
        <w:tblLayout w:type="fixed"/>
        <w:tblLook w:firstColumn="1" w:firstRow="1" w:lastColumn="0" w:lastRow="0" w:noHBand="0" w:noVBand="1" w:val="04A0"/>
      </w:tblPr>
      <w:tblGrid>
        <w:gridCol w:w="5233"/>
        <w:gridCol w:w="5233"/>
      </w:tblGrid>
      <w:tr>
        <w:tc>
          <w:tcPr>
            <w:tcW w:type="dxa" w:w="4649"/>
            <w:vAlign w:val="center"/>
            <w:shd w:val="clear" w:color="auto" w:fill="2B547E"/>
          </w:tcPr>
          <w:p>
            <w:pPr>
              <w:spacing w:before="20" w:after="20"/>
              <w:jc w:val="center"/>
            </w:pPr>
            <w:r>
              <w:rPr>
                <w:rFonts w:ascii="Calibri" w:hAnsi="Calibri"/>
                <w:b/>
                <w:color w:val="FFFFFF"/>
                <w:sz w:val="16"/>
                <w:spacing w:val="0"/>
                <w:kern w:val="0"/>
              </w:rPr>
              <w:t>Ставка | Item</w:t>
            </w:r>
          </w:p>
        </w:tc>
        <w:tc>
          <w:tcPr>
            <w:tcW w:type="dxa" w:w="5329"/>
            <w:vAlign w:val="center"/>
            <w:shd w:val="clear" w:color="auto" w:fill="2B547E"/>
          </w:tcPr>
          <w:p>
            <w:pPr>
              <w:spacing w:before="20" w:after="20"/>
              <w:jc w:val="center"/>
            </w:pPr>
            <w:r>
              <w:rPr>
                <w:rFonts w:ascii="Calibri" w:hAnsi="Calibri"/>
                <w:b/>
                <w:color w:val="FFFFFF"/>
                <w:sz w:val="16"/>
                <w:spacing w:val="0"/>
                <w:kern w:val="0"/>
              </w:rPr>
              <w:t>Вредност | Value</w:t>
            </w:r>
          </w:p>
        </w:tc>
      </w:tr>
      <w:tr>
        <w:tc>
          <w:tcPr>
            <w:tcW w:type="dxa" w:w="4649"/>
            <w:vAlign w:val="center"/>
            <w:shd w:val="clear" w:color="auto" w:fill="FFFFFF"/>
          </w:tcPr>
          <w:p>
            <w:pPr>
              <w:spacing w:before="20" w:after="20"/>
              <w:jc w:val="left"/>
            </w:pPr>
            <w:r>
              <w:rPr>
                <w:rFonts w:ascii="Calibri" w:hAnsi="Calibri"/>
                <w:b w:val="0"/>
                <w:color w:val="16232B"/>
                <w:sz w:val="16"/>
                <w:spacing w:val="0"/>
                <w:kern w:val="0"/>
              </w:rPr>
              <w:t>Домашни определувања документирани по стандардна оперативна постапка (пред финалното земање мостри / по него) | In-house determinations documented per standard operating procedure (before/after final QC sampling)</w:t>
            </w:r>
          </w:p>
        </w:tc>
        <w:tc>
          <w:tcPr>
            <w:tcW w:type="dxa" w:w="5329"/>
            <w:vAlign w:val="center"/>
            <w:shd w:val="clear" w:color="auto" w:fill="FFFFFF"/>
          </w:tcPr>
          <w:p>
            <w:pPr>
              <w:spacing w:before="20" w:after="20"/>
              <w:jc w:val="left"/>
            </w:pPr>
            <w:r>
              <w:rPr>
                <w:rFonts w:ascii="Calibri" w:hAnsi="Calibri"/>
                <w:b w:val="0"/>
                <w:color w:val="16232B"/>
                <w:sz w:val="16"/>
                <w:spacing w:val="0"/>
                <w:kern w:val="0"/>
              </w:rPr>
              <w:t>Странични материи: 50 серии | Foreign matter: 50 batches · Макроскопска/микроскопска идентификација: 77 серии | Macro/microscopic identification: 77 batches</w:t>
            </w:r>
          </w:p>
        </w:tc>
      </w:tr>
      <w:tr>
        <w:tc>
          <w:tcPr>
            <w:tcW w:type="dxa" w:w="4649"/>
            <w:vAlign w:val="center"/>
            <w:shd w:val="clear" w:color="auto" w:fill="F4F7FB"/>
          </w:tcPr>
          <w:p>
            <w:pPr>
              <w:spacing w:before="20" w:after="20"/>
              <w:jc w:val="left"/>
            </w:pPr>
            <w:r>
              <w:rPr>
                <w:rFonts w:ascii="Calibri" w:hAnsi="Calibri"/>
                <w:b w:val="0"/>
                <w:color w:val="16232B"/>
                <w:sz w:val="16"/>
                <w:spacing w:val="0"/>
                <w:kern w:val="0"/>
              </w:rPr>
              <w:t>Предложени интерни сертификати за нив | In-house certificates proposed for them</w:t>
            </w:r>
          </w:p>
        </w:tc>
        <w:tc>
          <w:tcPr>
            <w:tcW w:type="dxa" w:w="5329"/>
            <w:vAlign w:val="center"/>
            <w:shd w:val="clear" w:color="auto" w:fill="F4F7FB"/>
          </w:tcPr>
          <w:p>
            <w:pPr>
              <w:spacing w:before="20" w:after="20"/>
              <w:jc w:val="left"/>
            </w:pPr>
            <w:r>
              <w:rPr>
                <w:rFonts w:ascii="Calibri" w:hAnsi="Calibri"/>
                <w:b w:val="0"/>
                <w:color w:val="16232B"/>
                <w:sz w:val="16"/>
                <w:spacing w:val="0"/>
                <w:kern w:val="0"/>
              </w:rPr>
              <w:t>127 (список за издавање на сертификати)</w:t>
            </w:r>
          </w:p>
        </w:tc>
      </w:tr>
      <w:tr>
        <w:tc>
          <w:tcPr>
            <w:tcW w:type="dxa" w:w="4649"/>
            <w:vAlign w:val="center"/>
            <w:shd w:val="clear" w:color="auto" w:fill="FFFFFF"/>
          </w:tcPr>
          <w:p>
            <w:pPr>
              <w:spacing w:before="20" w:after="20"/>
              <w:jc w:val="left"/>
            </w:pPr>
            <w:r>
              <w:rPr>
                <w:rFonts w:ascii="Calibri" w:hAnsi="Calibri"/>
                <w:b w:val="0"/>
                <w:color w:val="16232B"/>
                <w:sz w:val="16"/>
                <w:spacing w:val="0"/>
                <w:kern w:val="0"/>
              </w:rPr>
              <w:t>Дополнителни инспекции извршени оваа недела | Further inspections performed this week</w:t>
            </w:r>
          </w:p>
        </w:tc>
        <w:tc>
          <w:tcPr>
            <w:tcW w:type="dxa" w:w="5329"/>
            <w:vAlign w:val="center"/>
            <w:shd w:val="clear" w:color="auto" w:fill="FFFFFF"/>
          </w:tcPr>
          <w:p>
            <w:pPr>
              <w:spacing w:before="20" w:after="20"/>
              <w:jc w:val="left"/>
            </w:pPr>
            <w:r>
              <w:rPr>
                <w:rFonts w:ascii="Calibri" w:hAnsi="Calibri"/>
                <w:b w:val="0"/>
                <w:color w:val="16232B"/>
                <w:sz w:val="16"/>
                <w:spacing w:val="0"/>
                <w:kern w:val="0"/>
              </w:rPr>
              <w:t>нема податоци во изворите | no data in consolidated sources</w:t>
            </w:r>
          </w:p>
        </w:tc>
      </w:tr>
    </w:tbl>
    <w:p>
      <w:pPr>
        <w:spacing w:before="160" w:after="80"/>
        <w:outlineLvl w:val="1"/>
      </w:pPr>
      <w:r>
        <w:rPr>
          <w:rFonts w:ascii="Calibri" w:hAnsi="Calibri"/>
          <w:b/>
          <w:i w:val="0"/>
          <w:color w:val="2B547E"/>
          <w:sz w:val="32"/>
          <w:spacing w:val="0"/>
          <w:kern w:val="0"/>
        </w:rPr>
        <w:t>2.2  Лабораториско тестирање</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Laboratory Testing</w:t>
      </w:r>
    </w:p>
    <w:tbl>
      <w:tblPr>
        <w:tblW w:type="auto" w:w="0"/>
        <w:tblLayout w:type="fixed"/>
        <w:tblLook w:firstColumn="1" w:firstRow="1" w:lastColumn="0" w:lastRow="0" w:noHBand="0" w:noVBand="1" w:val="04A0"/>
      </w:tblPr>
      <w:tblGrid>
        <w:gridCol w:w="5233"/>
        <w:gridCol w:w="5233"/>
      </w:tblGrid>
      <w:tr>
        <w:tc>
          <w:tcPr>
            <w:tcW w:type="dxa" w:w="4649"/>
            <w:vAlign w:val="center"/>
            <w:shd w:val="clear" w:color="auto" w:fill="2B547E"/>
          </w:tcPr>
          <w:p>
            <w:pPr>
              <w:spacing w:before="20" w:after="20"/>
              <w:jc w:val="center"/>
            </w:pPr>
            <w:r>
              <w:rPr>
                <w:rFonts w:ascii="Calibri" w:hAnsi="Calibri"/>
                <w:b/>
                <w:color w:val="FFFFFF"/>
                <w:sz w:val="16"/>
                <w:spacing w:val="0"/>
                <w:kern w:val="0"/>
              </w:rPr>
              <w:t>Ставка | Item</w:t>
            </w:r>
          </w:p>
        </w:tc>
        <w:tc>
          <w:tcPr>
            <w:tcW w:type="dxa" w:w="5329"/>
            <w:vAlign w:val="center"/>
            <w:shd w:val="clear" w:color="auto" w:fill="2B547E"/>
          </w:tcPr>
          <w:p>
            <w:pPr>
              <w:spacing w:before="20" w:after="20"/>
              <w:jc w:val="center"/>
            </w:pPr>
            <w:r>
              <w:rPr>
                <w:rFonts w:ascii="Calibri" w:hAnsi="Calibri"/>
                <w:b/>
                <w:color w:val="FFFFFF"/>
                <w:sz w:val="16"/>
                <w:spacing w:val="0"/>
                <w:kern w:val="0"/>
              </w:rPr>
              <w:t>Вредност | Value</w:t>
            </w:r>
          </w:p>
        </w:tc>
      </w:tr>
      <w:tr>
        <w:tc>
          <w:tcPr>
            <w:tcW w:type="dxa" w:w="4649"/>
            <w:vAlign w:val="center"/>
            <w:shd w:val="clear" w:color="auto" w:fill="FFFFFF"/>
          </w:tcPr>
          <w:p>
            <w:pPr>
              <w:spacing w:before="20" w:after="20"/>
              <w:jc w:val="left"/>
            </w:pPr>
            <w:r>
              <w:rPr>
                <w:rFonts w:ascii="Calibri" w:hAnsi="Calibri"/>
                <w:b w:val="0"/>
                <w:color w:val="16232B"/>
                <w:sz w:val="16"/>
                <w:spacing w:val="0"/>
                <w:kern w:val="0"/>
              </w:rPr>
              <w:t>Ретест-кампања (лабораторија Farmahem), обработена и потврдена во живо | Retest campaign (Farmahem laboratory), processed and live-verified</w:t>
            </w:r>
          </w:p>
        </w:tc>
        <w:tc>
          <w:tcPr>
            <w:tcW w:type="dxa" w:w="5329"/>
            <w:vAlign w:val="center"/>
            <w:shd w:val="clear" w:color="auto" w:fill="FFFFFF"/>
          </w:tcPr>
          <w:p>
            <w:pPr>
              <w:spacing w:before="20" w:after="20"/>
              <w:jc w:val="left"/>
            </w:pPr>
            <w:r>
              <w:rPr>
                <w:rFonts w:ascii="Calibri" w:hAnsi="Calibri"/>
                <w:b w:val="0"/>
                <w:color w:val="16232B"/>
                <w:sz w:val="16"/>
                <w:spacing w:val="0"/>
                <w:kern w:val="0"/>
              </w:rPr>
              <w:t>42 сертификати (21 за потенција + 21 за микотоксини), 07–10.08.2026 | 42 certificates (21 potency + 21 mycotoxin), 07–10.08.2026</w:t>
            </w:r>
          </w:p>
        </w:tc>
      </w:tr>
      <w:tr>
        <w:tc>
          <w:tcPr>
            <w:tcW w:type="dxa" w:w="4649"/>
            <w:vAlign w:val="center"/>
            <w:shd w:val="clear" w:color="auto" w:fill="F4F7FB"/>
          </w:tcPr>
          <w:p>
            <w:pPr>
              <w:spacing w:before="20" w:after="20"/>
              <w:jc w:val="left"/>
            </w:pPr>
            <w:r>
              <w:rPr>
                <w:rFonts w:ascii="Calibri" w:hAnsi="Calibri"/>
                <w:b w:val="0"/>
                <w:color w:val="16232B"/>
                <w:sz w:val="16"/>
                <w:spacing w:val="0"/>
                <w:kern w:val="0"/>
              </w:rPr>
              <w:t>Опсег на резултати за потенција | Potency result range</w:t>
            </w:r>
          </w:p>
        </w:tc>
        <w:tc>
          <w:tcPr>
            <w:tcW w:type="dxa" w:w="5329"/>
            <w:vAlign w:val="center"/>
            <w:shd w:val="clear" w:color="auto" w:fill="F4F7FB"/>
          </w:tcPr>
          <w:p>
            <w:pPr>
              <w:spacing w:before="20" w:after="20"/>
              <w:jc w:val="left"/>
            </w:pPr>
            <w:r>
              <w:rPr>
                <w:rFonts w:ascii="Calibri" w:hAnsi="Calibri"/>
                <w:b w:val="0"/>
                <w:color w:val="16232B"/>
                <w:sz w:val="16"/>
                <w:spacing w:val="0"/>
                <w:kern w:val="0"/>
              </w:rPr>
              <w:t>7.91 – 26.14 %w/w (0 резултати надвор од спецификација во кампањата) | 7.91 – 26.14 %w/w (0 out-of-specification results in the campaign)</w:t>
            </w:r>
          </w:p>
        </w:tc>
      </w:tr>
      <w:tr>
        <w:tc>
          <w:tcPr>
            <w:tcW w:type="dxa" w:w="4649"/>
            <w:vAlign w:val="center"/>
            <w:shd w:val="clear" w:color="auto" w:fill="FFFFFF"/>
          </w:tcPr>
          <w:p>
            <w:pPr>
              <w:spacing w:before="20" w:after="20"/>
              <w:jc w:val="left"/>
            </w:pPr>
            <w:r>
              <w:rPr>
                <w:rFonts w:ascii="Calibri" w:hAnsi="Calibri"/>
                <w:b w:val="0"/>
                <w:color w:val="16232B"/>
                <w:sz w:val="16"/>
                <w:spacing w:val="0"/>
                <w:kern w:val="0"/>
              </w:rPr>
              <w:t>Вкупно резултати во базата, потврдени | Total results on file, verified</w:t>
            </w:r>
          </w:p>
        </w:tc>
        <w:tc>
          <w:tcPr>
            <w:tcW w:type="dxa" w:w="5329"/>
            <w:vAlign w:val="center"/>
            <w:shd w:val="clear" w:color="auto" w:fill="FFFFFF"/>
          </w:tcPr>
          <w:p>
            <w:pPr>
              <w:spacing w:before="20" w:after="20"/>
              <w:jc w:val="left"/>
            </w:pPr>
            <w:r>
              <w:rPr>
                <w:rFonts w:ascii="Calibri" w:hAnsi="Calibri"/>
                <w:b w:val="0"/>
                <w:color w:val="16232B"/>
                <w:sz w:val="16"/>
                <w:spacing w:val="0"/>
                <w:kern w:val="0"/>
              </w:rPr>
              <w:t>1038 (77 серии; 4-слојна проверка + потврда во живо на изворниот систем) | 1038 (77 batches; 4-layer fact-check + live source-system verification)</w:t>
            </w:r>
          </w:p>
        </w:tc>
      </w:tr>
    </w:tbl>
    <w:p>
      <w:pPr>
        <w:spacing w:before="160" w:after="80"/>
        <w:outlineLvl w:val="1"/>
      </w:pPr>
      <w:r>
        <w:rPr>
          <w:rFonts w:ascii="Calibri" w:hAnsi="Calibri"/>
          <w:b/>
          <w:i w:val="0"/>
          <w:color w:val="2B547E"/>
          <w:sz w:val="32"/>
          <w:spacing w:val="0"/>
          <w:kern w:val="0"/>
        </w:rPr>
        <w:t>2.3  Мониторинг на околината</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Environmental Monitoring</w:t>
      </w:r>
    </w:p>
    <w:tbl>
      <w:tblPr>
        <w:tblW w:type="auto" w:w="0"/>
        <w:tblLayout w:type="fixed"/>
        <w:tblLook w:firstColumn="1" w:firstRow="1" w:lastColumn="0" w:lastRow="0" w:noHBand="0" w:noVBand="1" w:val="04A0"/>
      </w:tblPr>
      <w:tblGrid>
        <w:gridCol w:w="5233"/>
        <w:gridCol w:w="5233"/>
      </w:tblGrid>
      <w:tr>
        <w:tc>
          <w:tcPr>
            <w:tcW w:type="dxa" w:w="4649"/>
            <w:vAlign w:val="center"/>
            <w:shd w:val="clear" w:color="auto" w:fill="2B547E"/>
          </w:tcPr>
          <w:p>
            <w:pPr>
              <w:spacing w:before="20" w:after="20"/>
              <w:jc w:val="center"/>
            </w:pPr>
            <w:r>
              <w:rPr>
                <w:rFonts w:ascii="Calibri" w:hAnsi="Calibri"/>
                <w:b/>
                <w:color w:val="FFFFFF"/>
                <w:sz w:val="16"/>
                <w:spacing w:val="0"/>
                <w:kern w:val="0"/>
              </w:rPr>
              <w:t>Ставка | Item</w:t>
            </w:r>
          </w:p>
        </w:tc>
        <w:tc>
          <w:tcPr>
            <w:tcW w:type="dxa" w:w="5329"/>
            <w:vAlign w:val="center"/>
            <w:shd w:val="clear" w:color="auto" w:fill="2B547E"/>
          </w:tcPr>
          <w:p>
            <w:pPr>
              <w:spacing w:before="20" w:after="20"/>
              <w:jc w:val="center"/>
            </w:pPr>
            <w:r>
              <w:rPr>
                <w:rFonts w:ascii="Calibri" w:hAnsi="Calibri"/>
                <w:b/>
                <w:color w:val="FFFFFF"/>
                <w:sz w:val="16"/>
                <w:spacing w:val="0"/>
                <w:kern w:val="0"/>
              </w:rPr>
              <w:t>Вредност | Value</w:t>
            </w:r>
          </w:p>
        </w:tc>
      </w:tr>
      <w:tr>
        <w:tc>
          <w:tcPr>
            <w:tcW w:type="dxa" w:w="4649"/>
            <w:vAlign w:val="center"/>
            <w:shd w:val="clear" w:color="auto" w:fill="FFFFFF"/>
          </w:tcPr>
          <w:p>
            <w:pPr>
              <w:spacing w:before="20" w:after="20"/>
              <w:jc w:val="left"/>
            </w:pPr>
            <w:r>
              <w:rPr>
                <w:rFonts w:ascii="Calibri" w:hAnsi="Calibri"/>
                <w:b w:val="0"/>
                <w:color w:val="16232B"/>
                <w:sz w:val="16"/>
                <w:spacing w:val="0"/>
                <w:kern w:val="0"/>
              </w:rPr>
              <w:t>Кругови на мониторинг | Monitoring rounds</w:t>
            </w:r>
          </w:p>
        </w:tc>
        <w:tc>
          <w:tcPr>
            <w:tcW w:type="dxa" w:w="5329"/>
            <w:vAlign w:val="center"/>
            <w:shd w:val="clear" w:color="auto" w:fill="FFFFFF"/>
          </w:tcPr>
          <w:p>
            <w:pPr>
              <w:spacing w:before="20" w:after="20"/>
              <w:jc w:val="left"/>
            </w:pPr>
            <w:r>
              <w:rPr>
                <w:rFonts w:ascii="Calibri" w:hAnsi="Calibri"/>
                <w:b w:val="0"/>
                <w:color w:val="16232B"/>
                <w:sz w:val="16"/>
                <w:spacing w:val="0"/>
                <w:kern w:val="0"/>
              </w:rPr>
              <w:t>нема податоци во изворите — да се внесе од Контрола на квалитет | no data in sources — to be entered by QC</w:t>
            </w:r>
          </w:p>
        </w:tc>
      </w:tr>
    </w:tbl>
    <w:p>
      <w:pPr>
        <w:spacing w:before="160" w:after="80"/>
        <w:outlineLvl w:val="1"/>
      </w:pPr>
      <w:r>
        <w:rPr>
          <w:rFonts w:ascii="Calibri" w:hAnsi="Calibri"/>
          <w:b/>
          <w:i w:val="0"/>
          <w:color w:val="2B547E"/>
          <w:sz w:val="32"/>
          <w:spacing w:val="0"/>
          <w:kern w:val="0"/>
        </w:rPr>
        <w:t>2.4  Производ кој чека ослободување (ред за обработка)</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Product Awaiting QC Release (queue)</w:t>
      </w:r>
    </w:p>
    <w:tbl>
      <w:tblPr>
        <w:tblW w:type="auto" w:w="0"/>
        <w:tblLayout w:type="fixed"/>
        <w:tblLook w:firstColumn="1" w:firstRow="1" w:lastColumn="0" w:lastRow="0" w:noHBand="0" w:noVBand="1" w:val="04A0"/>
      </w:tblPr>
      <w:tblGrid>
        <w:gridCol w:w="3489"/>
        <w:gridCol w:w="3489"/>
        <w:gridCol w:w="3489"/>
      </w:tblGrid>
      <w:tr>
        <w:tc>
          <w:tcPr>
            <w:tcW w:type="dxa" w:w="3628"/>
            <w:vAlign w:val="center"/>
            <w:shd w:val="clear" w:color="auto" w:fill="2B547E"/>
          </w:tcPr>
          <w:p>
            <w:pPr>
              <w:spacing w:before="20" w:after="20"/>
              <w:jc w:val="center"/>
            </w:pPr>
            <w:r>
              <w:rPr>
                <w:rFonts w:ascii="Calibri" w:hAnsi="Calibri"/>
                <w:b/>
                <w:color w:val="FFFFFF"/>
                <w:sz w:val="16"/>
                <w:spacing w:val="0"/>
                <w:kern w:val="0"/>
              </w:rPr>
              <w:t>Категорија | Category</w:t>
            </w:r>
          </w:p>
        </w:tc>
        <w:tc>
          <w:tcPr>
            <w:tcW w:type="dxa" w:w="1474"/>
            <w:vAlign w:val="center"/>
            <w:shd w:val="clear" w:color="auto" w:fill="2B547E"/>
          </w:tcPr>
          <w:p>
            <w:pPr>
              <w:spacing w:before="20" w:after="20"/>
              <w:jc w:val="center"/>
            </w:pPr>
            <w:r>
              <w:rPr>
                <w:rFonts w:ascii="Calibri" w:hAnsi="Calibri"/>
                <w:b/>
                <w:color w:val="FFFFFF"/>
                <w:sz w:val="16"/>
                <w:spacing w:val="0"/>
                <w:kern w:val="0"/>
              </w:rPr>
              <w:t>Серии | Batches</w:t>
            </w:r>
          </w:p>
        </w:tc>
        <w:tc>
          <w:tcPr>
            <w:tcW w:type="dxa" w:w="4876"/>
            <w:vAlign w:val="center"/>
            <w:shd w:val="clear" w:color="auto" w:fill="2B547E"/>
          </w:tcPr>
          <w:p>
            <w:pPr>
              <w:spacing w:before="20" w:after="20"/>
              <w:jc w:val="center"/>
            </w:pPr>
            <w:r>
              <w:rPr>
                <w:rFonts w:ascii="Calibri" w:hAnsi="Calibri"/>
                <w:b/>
                <w:color w:val="FFFFFF"/>
                <w:sz w:val="16"/>
                <w:spacing w:val="0"/>
                <w:kern w:val="0"/>
              </w:rPr>
              <w:t>Забелешка | Note</w:t>
            </w:r>
          </w:p>
        </w:tc>
      </w:tr>
      <w:tr>
        <w:tc>
          <w:tcPr>
            <w:tcW w:type="dxa" w:w="3628"/>
            <w:vAlign w:val="center"/>
            <w:shd w:val="clear" w:color="auto" w:fill="FFFFFF"/>
          </w:tcPr>
          <w:p>
            <w:pPr>
              <w:spacing w:before="20" w:after="20"/>
              <w:jc w:val="left"/>
            </w:pPr>
            <w:r>
              <w:rPr>
                <w:rFonts w:ascii="Calibri" w:hAnsi="Calibri"/>
                <w:b w:val="0"/>
                <w:color w:val="16232B"/>
                <w:sz w:val="16"/>
                <w:spacing w:val="0"/>
                <w:kern w:val="0"/>
              </w:rPr>
              <w:t>Делумен панел (недостасуваат ставки) | Partial panel (items missing)</w:t>
            </w:r>
          </w:p>
        </w:tc>
        <w:tc>
          <w:tcPr>
            <w:tcW w:type="dxa" w:w="1474"/>
            <w:vAlign w:val="center"/>
            <w:shd w:val="clear" w:color="auto" w:fill="FFFFFF"/>
          </w:tcPr>
          <w:p>
            <w:pPr>
              <w:spacing w:before="20" w:after="20"/>
              <w:jc w:val="center"/>
            </w:pPr>
            <w:r>
              <w:rPr>
                <w:rFonts w:ascii="Calibri" w:hAnsi="Calibri"/>
                <w:b w:val="0"/>
                <w:color w:val="16232B"/>
                <w:sz w:val="16"/>
                <w:spacing w:val="0"/>
                <w:kern w:val="0"/>
              </w:rPr>
              <w:t>74</w:t>
            </w:r>
          </w:p>
        </w:tc>
        <w:tc>
          <w:tcPr>
            <w:tcW w:type="dxa" w:w="4876"/>
            <w:vAlign w:val="center"/>
            <w:shd w:val="clear" w:color="auto" w:fill="FFFFFF"/>
          </w:tcPr>
          <w:p>
            <w:pPr>
              <w:spacing w:before="20" w:after="20"/>
              <w:jc w:val="left"/>
            </w:pPr>
            <w:r>
              <w:rPr>
                <w:rFonts w:ascii="Calibri" w:hAnsi="Calibri"/>
                <w:b w:val="0"/>
                <w:color w:val="16232B"/>
                <w:sz w:val="16"/>
                <w:spacing w:val="0"/>
                <w:kern w:val="0"/>
              </w:rPr>
              <w:t>најчесто недостасуваат: идентификација по HPTLC, CBN, AflaB1, OTA | most commonly missing: HPTLC identification, CBN, AflaB1, OTA</w:t>
            </w:r>
          </w:p>
        </w:tc>
      </w:tr>
      <w:tr>
        <w:tc>
          <w:tcPr>
            <w:tcW w:type="dxa" w:w="3628"/>
            <w:vAlign w:val="center"/>
            <w:shd w:val="clear" w:color="auto" w:fill="F4F7FB"/>
          </w:tcPr>
          <w:p>
            <w:pPr>
              <w:spacing w:before="20" w:after="20"/>
              <w:jc w:val="left"/>
            </w:pPr>
            <w:r>
              <w:rPr>
                <w:rFonts w:ascii="Calibri" w:hAnsi="Calibri"/>
                <w:b w:val="0"/>
                <w:color w:val="16232B"/>
                <w:sz w:val="16"/>
                <w:spacing w:val="0"/>
                <w:kern w:val="0"/>
              </w:rPr>
              <w:t>Без ниту еден сертификат за анализа | No certificate of analysis at all</w:t>
            </w:r>
          </w:p>
        </w:tc>
        <w:tc>
          <w:tcPr>
            <w:tcW w:type="dxa" w:w="1474"/>
            <w:vAlign w:val="center"/>
            <w:shd w:val="clear" w:color="auto" w:fill="F4F7FB"/>
          </w:tcPr>
          <w:p>
            <w:pPr>
              <w:spacing w:before="20" w:after="20"/>
              <w:jc w:val="center"/>
            </w:pPr>
            <w:r>
              <w:rPr>
                <w:rFonts w:ascii="Calibri" w:hAnsi="Calibri"/>
                <w:b w:val="0"/>
                <w:color w:val="16232B"/>
                <w:sz w:val="16"/>
                <w:spacing w:val="0"/>
                <w:kern w:val="0"/>
              </w:rPr>
              <w:t>9</w:t>
            </w:r>
          </w:p>
        </w:tc>
        <w:tc>
          <w:tcPr>
            <w:tcW w:type="dxa" w:w="4876"/>
            <w:vAlign w:val="center"/>
            <w:shd w:val="clear" w:color="auto" w:fill="F4F7FB"/>
          </w:tcPr>
          <w:p>
            <w:pPr>
              <w:spacing w:before="20" w:after="20"/>
              <w:jc w:val="left"/>
            </w:pPr>
            <w:r>
              <w:rPr>
                <w:rFonts w:ascii="Calibri" w:hAnsi="Calibri"/>
                <w:b w:val="0"/>
                <w:color w:val="16232B"/>
                <w:sz w:val="16"/>
                <w:spacing w:val="0"/>
                <w:kern w:val="0"/>
              </w:rPr>
              <w:t>види Прашање И-3 | see Issue И-3</w:t>
            </w:r>
          </w:p>
        </w:tc>
      </w:tr>
    </w:tbl>
    <w:p>
      <w:pPr>
        <w:spacing w:before="40" w:after="40" w:line="254" w:lineRule="auto"/>
        <w:jc w:val="left"/>
      </w:pPr>
      <w:r>
        <w:rPr>
          <w:rFonts w:ascii="Calibri" w:hAnsi="Calibri"/>
          <w:b w:val="0"/>
          <w:i/>
          <w:color w:val="4A5B6C"/>
          <w:sz w:val="16"/>
          <w:spacing w:val="0"/>
          <w:kern w:val="0"/>
        </w:rPr>
        <w:t>Разгранување до детали | Drill-down: PP_Spec_Parameter_Matrix.xlsx — по серија, по параметар, со врски до скенираните сертификати за анализа. | per batch, per parameter, hyperlinked to the certificate scans.</w:t>
      </w:r>
    </w:p>
    <w:p>
      <w:pPr>
        <w:spacing w:before="160" w:after="80"/>
        <w:outlineLvl w:val="1"/>
      </w:pPr>
      <w:r>
        <w:rPr>
          <w:rFonts w:ascii="Calibri" w:hAnsi="Calibri"/>
          <w:b/>
          <w:i w:val="0"/>
          <w:color w:val="2B547E"/>
          <w:sz w:val="32"/>
          <w:spacing w:val="0"/>
          <w:kern w:val="0"/>
        </w:rPr>
        <w:t>2.5  Производ со целосни резултати од Контрола на квалитет</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Product QC-Cleared (results complete)</w:t>
      </w:r>
    </w:p>
    <w:tbl>
      <w:tblPr>
        <w:tblW w:type="auto" w:w="0"/>
        <w:tblLayout w:type="fixed"/>
        <w:tblLook w:firstColumn="1" w:firstRow="1" w:lastColumn="0" w:lastRow="0" w:noHBand="0" w:noVBand="1" w:val="04A0"/>
      </w:tblPr>
      <w:tblGrid>
        <w:gridCol w:w="5233"/>
        <w:gridCol w:w="5233"/>
      </w:tblGrid>
      <w:tr>
        <w:tc>
          <w:tcPr>
            <w:tcW w:type="dxa" w:w="4649"/>
            <w:vAlign w:val="center"/>
            <w:shd w:val="clear" w:color="auto" w:fill="2B547E"/>
          </w:tcPr>
          <w:p>
            <w:pPr>
              <w:spacing w:before="20" w:after="20"/>
              <w:jc w:val="center"/>
            </w:pPr>
            <w:r>
              <w:rPr>
                <w:rFonts w:ascii="Calibri" w:hAnsi="Calibri"/>
                <w:b/>
                <w:color w:val="FFFFFF"/>
                <w:sz w:val="16"/>
                <w:spacing w:val="0"/>
                <w:kern w:val="0"/>
              </w:rPr>
              <w:t>Ставка | Item</w:t>
            </w:r>
          </w:p>
        </w:tc>
        <w:tc>
          <w:tcPr>
            <w:tcW w:type="dxa" w:w="5329"/>
            <w:vAlign w:val="center"/>
            <w:shd w:val="clear" w:color="auto" w:fill="2B547E"/>
          </w:tcPr>
          <w:p>
            <w:pPr>
              <w:spacing w:before="20" w:after="20"/>
              <w:jc w:val="center"/>
            </w:pPr>
            <w:r>
              <w:rPr>
                <w:rFonts w:ascii="Calibri" w:hAnsi="Calibri"/>
                <w:b/>
                <w:color w:val="FFFFFF"/>
                <w:sz w:val="16"/>
                <w:spacing w:val="0"/>
                <w:kern w:val="0"/>
              </w:rPr>
              <w:t>Вредност | Value</w:t>
            </w:r>
          </w:p>
        </w:tc>
      </w:tr>
      <w:tr>
        <w:tc>
          <w:tcPr>
            <w:tcW w:type="dxa" w:w="4649"/>
            <w:vAlign w:val="center"/>
            <w:shd w:val="clear" w:color="auto" w:fill="FFFFFF"/>
          </w:tcPr>
          <w:p>
            <w:pPr>
              <w:spacing w:before="20" w:after="20"/>
              <w:jc w:val="left"/>
            </w:pPr>
            <w:r>
              <w:rPr>
                <w:rFonts w:ascii="Calibri" w:hAnsi="Calibri"/>
                <w:b w:val="0"/>
                <w:color w:val="16232B"/>
                <w:sz w:val="16"/>
                <w:spacing w:val="0"/>
                <w:kern w:val="0"/>
              </w:rPr>
              <w:t>Серии со целосен панел од 21 ставка (вклучувајќи ги декларираните) | Batches with the full 21-item panel (including declared determinations)</w:t>
            </w:r>
          </w:p>
        </w:tc>
        <w:tc>
          <w:tcPr>
            <w:tcW w:type="dxa" w:w="5329"/>
            <w:vAlign w:val="center"/>
            <w:shd w:val="clear" w:color="auto" w:fill="FFFFFF"/>
          </w:tcPr>
          <w:p>
            <w:pPr>
              <w:spacing w:before="20" w:after="20"/>
              <w:jc w:val="left"/>
            </w:pPr>
            <w:r>
              <w:rPr>
                <w:rFonts w:ascii="Calibri" w:hAnsi="Calibri"/>
                <w:b w:val="0"/>
                <w:color w:val="16232B"/>
                <w:sz w:val="16"/>
                <w:spacing w:val="0"/>
                <w:kern w:val="0"/>
              </w:rPr>
              <w:t>CJ062501/2, CJ082501/2, PM092501 (3)</w:t>
            </w:r>
          </w:p>
        </w:tc>
      </w:tr>
      <w:tr>
        <w:tc>
          <w:tcPr>
            <w:tcW w:type="dxa" w:w="4649"/>
            <w:vAlign w:val="center"/>
            <w:shd w:val="clear" w:color="auto" w:fill="F4F7FB"/>
          </w:tcPr>
          <w:p>
            <w:pPr>
              <w:spacing w:before="20" w:after="20"/>
              <w:jc w:val="left"/>
            </w:pPr>
            <w:r>
              <w:rPr>
                <w:rFonts w:ascii="Calibri" w:hAnsi="Calibri"/>
                <w:b w:val="0"/>
                <w:color w:val="16232B"/>
                <w:sz w:val="16"/>
                <w:spacing w:val="0"/>
                <w:kern w:val="0"/>
              </w:rPr>
              <w:t>Напомена | Note</w:t>
            </w:r>
          </w:p>
        </w:tc>
        <w:tc>
          <w:tcPr>
            <w:tcW w:type="dxa" w:w="5329"/>
            <w:vAlign w:val="center"/>
            <w:shd w:val="clear" w:color="auto" w:fill="F4F7FB"/>
          </w:tcPr>
          <w:p>
            <w:pPr>
              <w:spacing w:before="20" w:after="20"/>
              <w:jc w:val="left"/>
            </w:pPr>
            <w:r>
              <w:rPr>
                <w:rFonts w:ascii="Calibri" w:hAnsi="Calibri"/>
                <w:b w:val="0"/>
                <w:color w:val="16232B"/>
                <w:sz w:val="16"/>
                <w:spacing w:val="0"/>
                <w:kern w:val="0"/>
              </w:rPr>
              <w:t>ова е статус на покриеност со резултати, НЕ одлука за ослободување — одлуката за ослободување е на Обезбедување на квалитет | this is a result-coverage status, NOT a release disposition — disposition sits with QA</w:t>
            </w:r>
          </w:p>
        </w:tc>
      </w:tr>
    </w:tbl>
    <w:p>
      <w:pPr>
        <w:spacing w:before="160" w:after="80"/>
        <w:outlineLvl w:val="1"/>
      </w:pPr>
      <w:r>
        <w:rPr>
          <w:rFonts w:ascii="Calibri" w:hAnsi="Calibri"/>
          <w:b/>
          <w:i w:val="0"/>
          <w:color w:val="2B547E"/>
          <w:sz w:val="32"/>
          <w:spacing w:val="0"/>
          <w:kern w:val="0"/>
        </w:rPr>
        <w:t>2.6  Резултати надвор од спецификација / лабораториски отстапувања</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OOS / Lab Deviations</w:t>
      </w:r>
    </w:p>
    <w:tbl>
      <w:tblPr>
        <w:tblW w:type="auto" w:w="0"/>
        <w:tblLayout w:type="fixed"/>
        <w:tblLook w:firstColumn="1" w:firstRow="1" w:lastColumn="0" w:lastRow="0" w:noHBand="0" w:noVBand="1" w:val="04A0"/>
      </w:tblPr>
      <w:tblGrid>
        <w:gridCol w:w="3489"/>
        <w:gridCol w:w="3489"/>
        <w:gridCol w:w="3489"/>
      </w:tblGrid>
      <w:tr>
        <w:tc>
          <w:tcPr>
            <w:tcW w:type="dxa" w:w="1814"/>
            <w:vAlign w:val="center"/>
            <w:shd w:val="clear" w:color="auto" w:fill="2B547E"/>
          </w:tcPr>
          <w:p>
            <w:pPr>
              <w:spacing w:before="20" w:after="20"/>
              <w:jc w:val="center"/>
            </w:pPr>
            <w:r>
              <w:rPr>
                <w:rFonts w:ascii="Calibri" w:hAnsi="Calibri"/>
                <w:b/>
                <w:color w:val="FFFFFF"/>
                <w:sz w:val="16"/>
                <w:spacing w:val="0"/>
                <w:kern w:val="0"/>
              </w:rPr>
              <w:t>Серија | Batch</w:t>
            </w:r>
          </w:p>
        </w:tc>
        <w:tc>
          <w:tcPr>
            <w:tcW w:type="dxa" w:w="2608"/>
            <w:vAlign w:val="center"/>
            <w:shd w:val="clear" w:color="auto" w:fill="2B547E"/>
          </w:tcPr>
          <w:p>
            <w:pPr>
              <w:spacing w:before="20" w:after="20"/>
              <w:jc w:val="center"/>
            </w:pPr>
            <w:r>
              <w:rPr>
                <w:rFonts w:ascii="Calibri" w:hAnsi="Calibri"/>
                <w:b/>
                <w:color w:val="FFFFFF"/>
                <w:sz w:val="16"/>
                <w:spacing w:val="0"/>
                <w:kern w:val="0"/>
              </w:rPr>
              <w:t>Параметар | Parameter</w:t>
            </w:r>
          </w:p>
        </w:tc>
        <w:tc>
          <w:tcPr>
            <w:tcW w:type="dxa" w:w="5556"/>
            <w:vAlign w:val="center"/>
            <w:shd w:val="clear" w:color="auto" w:fill="2B547E"/>
          </w:tcPr>
          <w:p>
            <w:pPr>
              <w:spacing w:before="20" w:after="20"/>
              <w:jc w:val="center"/>
            </w:pPr>
            <w:r>
              <w:rPr>
                <w:rFonts w:ascii="Calibri" w:hAnsi="Calibri"/>
                <w:b/>
                <w:color w:val="FFFFFF"/>
                <w:sz w:val="16"/>
                <w:spacing w:val="0"/>
                <w:kern w:val="0"/>
              </w:rPr>
              <w:t>Наод | Finding</w:t>
            </w:r>
          </w:p>
        </w:tc>
      </w:tr>
      <w:tr>
        <w:tc>
          <w:tcPr>
            <w:tcW w:type="dxa" w:w="1814"/>
            <w:vAlign w:val="center"/>
            <w:shd w:val="clear" w:color="auto" w:fill="FDECEA"/>
          </w:tcPr>
          <w:p>
            <w:pPr>
              <w:spacing w:before="20" w:after="20"/>
              <w:jc w:val="left"/>
            </w:pPr>
            <w:r>
              <w:rPr>
                <w:rFonts w:ascii="Calibri" w:hAnsi="Calibri"/>
                <w:b w:val="0"/>
                <w:color w:val="16232B"/>
                <w:sz w:val="16"/>
                <w:spacing w:val="0"/>
                <w:kern w:val="0"/>
              </w:rPr>
              <w:t>FB032601</w:t>
            </w:r>
          </w:p>
        </w:tc>
        <w:tc>
          <w:tcPr>
            <w:tcW w:type="dxa" w:w="2608"/>
            <w:vAlign w:val="center"/>
            <w:shd w:val="clear" w:color="auto" w:fill="FDECEA"/>
          </w:tcPr>
          <w:p>
            <w:pPr>
              <w:spacing w:before="20" w:after="20"/>
              <w:jc w:val="left"/>
            </w:pPr>
            <w:r>
              <w:rPr>
                <w:rFonts w:ascii="Calibri" w:hAnsi="Calibri"/>
                <w:b w:val="0"/>
                <w:color w:val="16232B"/>
                <w:sz w:val="16"/>
                <w:spacing w:val="0"/>
                <w:kern w:val="0"/>
              </w:rPr>
              <w:t>Странични материи (ставка 7) | Foreign Matter (item 7)</w:t>
            </w:r>
          </w:p>
        </w:tc>
        <w:tc>
          <w:tcPr>
            <w:tcW w:type="dxa" w:w="5556"/>
            <w:vAlign w:val="center"/>
            <w:shd w:val="clear" w:color="auto" w:fill="FDECEA"/>
          </w:tcPr>
          <w:p>
            <w:pPr>
              <w:spacing w:before="20" w:after="20"/>
              <w:jc w:val="left"/>
            </w:pPr>
            <w:r>
              <w:rPr>
                <w:rFonts w:ascii="Calibri" w:hAnsi="Calibri"/>
                <w:b w:val="0"/>
                <w:color w:val="16232B"/>
                <w:sz w:val="16"/>
                <w:spacing w:val="0"/>
                <w:kern w:val="0"/>
              </w:rPr>
              <w:t>0.08% — Не одговара / NON-CONFORM (cannabis seed present); data-integrity flag in source</w:t>
            </w:r>
          </w:p>
        </w:tc>
      </w:tr>
    </w:tbl>
    <w:p>
      <w:pPr>
        <w:spacing w:before="160" w:after="80"/>
        <w:outlineLvl w:val="1"/>
      </w:pPr>
      <w:r>
        <w:rPr>
          <w:rFonts w:ascii="Calibri" w:hAnsi="Calibri"/>
          <w:b/>
          <w:i w:val="0"/>
          <w:color w:val="2B547E"/>
          <w:sz w:val="32"/>
          <w:spacing w:val="0"/>
          <w:kern w:val="0"/>
        </w:rPr>
        <w:t>2.7  Валидациски активности (дел на Контрола на квалитет)</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Validation Activities (QC part)</w:t>
      </w:r>
    </w:p>
    <w:tbl>
      <w:tblPr>
        <w:tblW w:type="auto" w:w="0"/>
        <w:tblLayout w:type="fixed"/>
        <w:tblLook w:firstColumn="1" w:firstRow="1" w:lastColumn="0" w:lastRow="0" w:noHBand="0" w:noVBand="1" w:val="04A0"/>
      </w:tblPr>
      <w:tblGrid>
        <w:gridCol w:w="5233"/>
        <w:gridCol w:w="5233"/>
      </w:tblGrid>
      <w:tr>
        <w:tc>
          <w:tcPr>
            <w:tcW w:type="dxa" w:w="4649"/>
            <w:vAlign w:val="center"/>
            <w:shd w:val="clear" w:color="auto" w:fill="2B547E"/>
          </w:tcPr>
          <w:p>
            <w:pPr>
              <w:spacing w:before="20" w:after="20"/>
              <w:jc w:val="center"/>
            </w:pPr>
            <w:r>
              <w:rPr>
                <w:rFonts w:ascii="Calibri" w:hAnsi="Calibri"/>
                <w:b/>
                <w:color w:val="FFFFFF"/>
                <w:sz w:val="16"/>
                <w:spacing w:val="0"/>
                <w:kern w:val="0"/>
              </w:rPr>
              <w:t>Ставка | Item</w:t>
            </w:r>
          </w:p>
        </w:tc>
        <w:tc>
          <w:tcPr>
            <w:tcW w:type="dxa" w:w="5329"/>
            <w:vAlign w:val="center"/>
            <w:shd w:val="clear" w:color="auto" w:fill="2B547E"/>
          </w:tcPr>
          <w:p>
            <w:pPr>
              <w:spacing w:before="20" w:after="20"/>
              <w:jc w:val="center"/>
            </w:pPr>
            <w:r>
              <w:rPr>
                <w:rFonts w:ascii="Calibri" w:hAnsi="Calibri"/>
                <w:b/>
                <w:color w:val="FFFFFF"/>
                <w:sz w:val="16"/>
                <w:spacing w:val="0"/>
                <w:kern w:val="0"/>
              </w:rPr>
              <w:t>Вредност | Value</w:t>
            </w:r>
          </w:p>
        </w:tc>
      </w:tr>
      <w:tr>
        <w:tc>
          <w:tcPr>
            <w:tcW w:type="dxa" w:w="4649"/>
            <w:vAlign w:val="center"/>
            <w:shd w:val="clear" w:color="auto" w:fill="FFFFFF"/>
          </w:tcPr>
          <w:p>
            <w:pPr>
              <w:spacing w:before="20" w:after="20"/>
              <w:jc w:val="left"/>
            </w:pPr>
            <w:r>
              <w:rPr>
                <w:rFonts w:ascii="Calibri" w:hAnsi="Calibri"/>
                <w:b w:val="0"/>
                <w:color w:val="16232B"/>
                <w:sz w:val="16"/>
                <w:spacing w:val="0"/>
                <w:kern w:val="0"/>
              </w:rPr>
              <w:t>Извршени оваа недела | Executed this week</w:t>
            </w:r>
          </w:p>
        </w:tc>
        <w:tc>
          <w:tcPr>
            <w:tcW w:type="dxa" w:w="5329"/>
            <w:vAlign w:val="center"/>
            <w:shd w:val="clear" w:color="auto" w:fill="FFFFFF"/>
          </w:tcPr>
          <w:p>
            <w:pPr>
              <w:spacing w:before="20" w:after="20"/>
              <w:jc w:val="center"/>
            </w:pPr>
            <w:r>
              <w:rPr>
                <w:rFonts w:ascii="Calibri" w:hAnsi="Calibri"/>
                <w:b w:val="0"/>
                <w:color w:val="16232B"/>
                <w:sz w:val="16"/>
                <w:spacing w:val="0"/>
                <w:kern w:val="0"/>
              </w:rPr>
              <w:t>нема | none</w:t>
            </w:r>
          </w:p>
        </w:tc>
      </w:tr>
    </w:tbl>
    <w:p>
      <w:pPr>
        <w:spacing w:before="160" w:after="80"/>
        <w:outlineLvl w:val="1"/>
      </w:pPr>
      <w:r>
        <w:rPr>
          <w:rFonts w:ascii="Calibri" w:hAnsi="Calibri"/>
          <w:b/>
          <w:i w:val="0"/>
          <w:color w:val="2B547E"/>
          <w:sz w:val="32"/>
          <w:spacing w:val="0"/>
          <w:kern w:val="0"/>
        </w:rPr>
        <w:t>2.8  Тестирање за ослободување простории (премин)</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Room Release Testing (transition)</w:t>
      </w:r>
    </w:p>
    <w:tbl>
      <w:tblPr>
        <w:tblW w:type="auto" w:w="0"/>
        <w:tblLayout w:type="fixed"/>
        <w:tblLook w:firstColumn="1" w:firstRow="1" w:lastColumn="0" w:lastRow="0" w:noHBand="0" w:noVBand="1" w:val="04A0"/>
      </w:tblPr>
      <w:tblGrid>
        <w:gridCol w:w="5233"/>
        <w:gridCol w:w="5233"/>
      </w:tblGrid>
      <w:tr>
        <w:tc>
          <w:tcPr>
            <w:tcW w:type="dxa" w:w="4649"/>
            <w:vAlign w:val="center"/>
            <w:shd w:val="clear" w:color="auto" w:fill="2B547E"/>
          </w:tcPr>
          <w:p>
            <w:pPr>
              <w:spacing w:before="20" w:after="20"/>
              <w:jc w:val="center"/>
            </w:pPr>
            <w:r>
              <w:rPr>
                <w:rFonts w:ascii="Calibri" w:hAnsi="Calibri"/>
                <w:b/>
                <w:color w:val="FFFFFF"/>
                <w:sz w:val="16"/>
                <w:spacing w:val="0"/>
                <w:kern w:val="0"/>
              </w:rPr>
              <w:t>Ставка | Item</w:t>
            </w:r>
          </w:p>
        </w:tc>
        <w:tc>
          <w:tcPr>
            <w:tcW w:type="dxa" w:w="5329"/>
            <w:vAlign w:val="center"/>
            <w:shd w:val="clear" w:color="auto" w:fill="2B547E"/>
          </w:tcPr>
          <w:p>
            <w:pPr>
              <w:spacing w:before="20" w:after="20"/>
              <w:jc w:val="center"/>
            </w:pPr>
            <w:r>
              <w:rPr>
                <w:rFonts w:ascii="Calibri" w:hAnsi="Calibri"/>
                <w:b/>
                <w:color w:val="FFFFFF"/>
                <w:sz w:val="16"/>
                <w:spacing w:val="0"/>
                <w:kern w:val="0"/>
              </w:rPr>
              <w:t>Вредност | Value</w:t>
            </w:r>
          </w:p>
        </w:tc>
      </w:tr>
      <w:tr>
        <w:tc>
          <w:tcPr>
            <w:tcW w:type="dxa" w:w="4649"/>
            <w:vAlign w:val="center"/>
            <w:shd w:val="clear" w:color="auto" w:fill="FFFFFF"/>
          </w:tcPr>
          <w:p>
            <w:pPr>
              <w:spacing w:before="20" w:after="20"/>
              <w:jc w:val="left"/>
            </w:pPr>
            <w:r>
              <w:rPr>
                <w:rFonts w:ascii="Calibri" w:hAnsi="Calibri"/>
                <w:b w:val="0"/>
                <w:color w:val="16232B"/>
                <w:sz w:val="16"/>
                <w:spacing w:val="0"/>
                <w:kern w:val="0"/>
              </w:rPr>
              <w:t>Статус по простории | Per-room status</w:t>
            </w:r>
          </w:p>
        </w:tc>
        <w:tc>
          <w:tcPr>
            <w:tcW w:type="dxa" w:w="5329"/>
            <w:vAlign w:val="center"/>
            <w:shd w:val="clear" w:color="auto" w:fill="FFFFFF"/>
          </w:tcPr>
          <w:p>
            <w:pPr>
              <w:spacing w:before="20" w:after="20"/>
              <w:jc w:val="left"/>
            </w:pPr>
            <w:r>
              <w:rPr>
                <w:rFonts w:ascii="Calibri" w:hAnsi="Calibri"/>
                <w:b w:val="0"/>
                <w:color w:val="16232B"/>
                <w:sz w:val="16"/>
                <w:spacing w:val="0"/>
                <w:kern w:val="0"/>
              </w:rPr>
              <w:t>нема податоци во изворите — да се внесе од Контрола на квалитет | no data in sources — to be entered by QC</w:t>
            </w:r>
          </w:p>
        </w:tc>
      </w:tr>
    </w:tbl>
    <w:p>
      <w:pPr>
        <w:spacing w:before="160" w:after="80"/>
        <w:outlineLvl w:val="1"/>
      </w:pPr>
      <w:r>
        <w:rPr>
          <w:rFonts w:ascii="Calibri" w:hAnsi="Calibri"/>
          <w:b/>
          <w:i w:val="0"/>
          <w:color w:val="2B547E"/>
          <w:sz w:val="32"/>
          <w:spacing w:val="0"/>
          <w:kern w:val="0"/>
        </w:rPr>
        <w:t>2.9  Придонес кон подготвеноста за добра производна пракса</w:t>
      </w:r>
      <w:r>
        <w:rPr>
          <w:rFonts w:ascii="Calibri" w:hAnsi="Calibri"/>
          <w:b w:val="0"/>
          <w:i w:val="0"/>
          <w:color w:val="595959"/>
          <w:sz w:val="28"/>
          <w:spacing w:val="0"/>
          <w:kern w:val="0"/>
        </w:rPr>
        <w:t xml:space="preserve">  |  </w:t>
      </w:r>
      <w:r>
        <w:rPr>
          <w:rFonts w:ascii="Calibri" w:hAnsi="Calibri"/>
          <w:b w:val="0"/>
          <w:i w:val="0"/>
          <w:color w:val="595959"/>
          <w:sz w:val="24"/>
          <w:spacing w:val="0"/>
          <w:kern w:val="0"/>
        </w:rPr>
        <w:t>Contribution to Manufacturing-Practice Readiness</w:t>
      </w:r>
    </w:p>
    <w:tbl>
      <w:tblPr>
        <w:tblW w:type="auto" w:w="0"/>
        <w:tblLayout w:type="fixed"/>
        <w:tblLook w:firstColumn="1" w:firstRow="1" w:lastColumn="0" w:lastRow="0" w:noHBand="0" w:noVBand="1" w:val="04A0"/>
      </w:tblPr>
      <w:tblGrid>
        <w:gridCol w:w="5233"/>
        <w:gridCol w:w="5233"/>
      </w:tblGrid>
      <w:tr>
        <w:tc>
          <w:tcPr>
            <w:tcW w:type="dxa" w:w="3742"/>
            <w:vAlign w:val="center"/>
            <w:shd w:val="clear" w:color="auto" w:fill="2B547E"/>
          </w:tcPr>
          <w:p>
            <w:pPr>
              <w:spacing w:before="20" w:after="20"/>
              <w:jc w:val="center"/>
            </w:pPr>
            <w:r>
              <w:rPr>
                <w:rFonts w:ascii="Calibri" w:hAnsi="Calibri"/>
                <w:b/>
                <w:color w:val="FFFFFF"/>
                <w:sz w:val="16"/>
                <w:spacing w:val="0"/>
                <w:kern w:val="0"/>
              </w:rPr>
              <w:t>Систем | System</w:t>
            </w:r>
          </w:p>
        </w:tc>
        <w:tc>
          <w:tcPr>
            <w:tcW w:type="dxa" w:w="6236"/>
            <w:vAlign w:val="center"/>
            <w:shd w:val="clear" w:color="auto" w:fill="2B547E"/>
          </w:tcPr>
          <w:p>
            <w:pPr>
              <w:spacing w:before="20" w:after="20"/>
              <w:jc w:val="center"/>
            </w:pPr>
            <w:r>
              <w:rPr>
                <w:rFonts w:ascii="Calibri" w:hAnsi="Calibri"/>
                <w:b/>
                <w:color w:val="FFFFFF"/>
                <w:sz w:val="16"/>
                <w:spacing w:val="0"/>
                <w:kern w:val="0"/>
              </w:rPr>
              <w:t>Статус | Status</w:t>
            </w:r>
          </w:p>
        </w:tc>
      </w:tr>
      <w:tr>
        <w:tc>
          <w:tcPr>
            <w:tcW w:type="dxa" w:w="3742"/>
            <w:vAlign w:val="center"/>
            <w:shd w:val="clear" w:color="auto" w:fill="FFFFFF"/>
          </w:tcPr>
          <w:p>
            <w:pPr>
              <w:spacing w:before="20" w:after="20"/>
              <w:jc w:val="left"/>
            </w:pPr>
            <w:r>
              <w:rPr>
                <w:rFonts w:ascii="Calibri" w:hAnsi="Calibri"/>
                <w:b w:val="0"/>
                <w:color w:val="16232B"/>
                <w:sz w:val="16"/>
                <w:spacing w:val="0"/>
                <w:kern w:val="0"/>
              </w:rPr>
              <w:t>eCoA register + specification matrix</w:t>
            </w:r>
          </w:p>
        </w:tc>
        <w:tc>
          <w:tcPr>
            <w:tcW w:type="dxa" w:w="6236"/>
            <w:vAlign w:val="center"/>
            <w:shd w:val="clear" w:color="auto" w:fill="FFFFFF"/>
          </w:tcPr>
          <w:p>
            <w:pPr>
              <w:spacing w:before="20" w:after="20"/>
              <w:jc w:val="left"/>
            </w:pPr>
            <w:r>
              <w:rPr>
                <w:rFonts w:ascii="Calibri" w:hAnsi="Calibri"/>
                <w:b w:val="0"/>
                <w:color w:val="16232B"/>
                <w:sz w:val="16"/>
                <w:spacing w:val="0"/>
                <w:kern w:val="0"/>
              </w:rPr>
              <w:t>1 038 verified results · 77 batches · 4-layer fact-check + live-host verification</w:t>
            </w:r>
          </w:p>
        </w:tc>
      </w:tr>
      <w:tr>
        <w:tc>
          <w:tcPr>
            <w:tcW w:type="dxa" w:w="3742"/>
            <w:vAlign w:val="center"/>
            <w:shd w:val="clear" w:color="auto" w:fill="F4F7FB"/>
          </w:tcPr>
          <w:p>
            <w:pPr>
              <w:spacing w:before="20" w:after="20"/>
              <w:jc w:val="left"/>
            </w:pPr>
            <w:r>
              <w:rPr>
                <w:rFonts w:ascii="Calibri" w:hAnsi="Calibri"/>
                <w:b w:val="0"/>
                <w:color w:val="16232B"/>
                <w:sz w:val="16"/>
                <w:spacing w:val="0"/>
                <w:kern w:val="0"/>
              </w:rPr>
              <w:t>CoQ issuance plan</w:t>
            </w:r>
          </w:p>
        </w:tc>
        <w:tc>
          <w:tcPr>
            <w:tcW w:type="dxa" w:w="6236"/>
            <w:vAlign w:val="center"/>
            <w:shd w:val="clear" w:color="auto" w:fill="F4F7FB"/>
          </w:tcPr>
          <w:p>
            <w:pPr>
              <w:spacing w:before="20" w:after="20"/>
              <w:jc w:val="left"/>
            </w:pPr>
            <w:r>
              <w:rPr>
                <w:rFonts w:ascii="Calibri" w:hAnsi="Calibri"/>
                <w:b w:val="0"/>
                <w:color w:val="16232B"/>
                <w:sz w:val="16"/>
                <w:spacing w:val="0"/>
                <w:kern w:val="0"/>
              </w:rPr>
              <w:t>95 events (77 initial + 18 superseding), results-complete chronology, QCSOP 012 §6.7</w:t>
            </w:r>
          </w:p>
        </w:tc>
      </w:tr>
      <w:tr>
        <w:tc>
          <w:tcPr>
            <w:tcW w:type="dxa" w:w="3742"/>
            <w:vAlign w:val="center"/>
            <w:shd w:val="clear" w:color="auto" w:fill="FFFFFF"/>
          </w:tcPr>
          <w:p>
            <w:pPr>
              <w:spacing w:before="20" w:after="20"/>
              <w:jc w:val="left"/>
            </w:pPr>
            <w:r>
              <w:rPr>
                <w:rFonts w:ascii="Calibri" w:hAnsi="Calibri"/>
                <w:b w:val="0"/>
                <w:color w:val="16232B"/>
                <w:sz w:val="16"/>
                <w:spacing w:val="0"/>
                <w:kern w:val="0"/>
              </w:rPr>
              <w:t>iCoA issuance list</w:t>
            </w:r>
          </w:p>
        </w:tc>
        <w:tc>
          <w:tcPr>
            <w:tcW w:type="dxa" w:w="6236"/>
            <w:vAlign w:val="center"/>
            <w:shd w:val="clear" w:color="auto" w:fill="FFFFFF"/>
          </w:tcPr>
          <w:p>
            <w:pPr>
              <w:spacing w:before="20" w:after="20"/>
              <w:jc w:val="left"/>
            </w:pPr>
            <w:r>
              <w:rPr>
                <w:rFonts w:ascii="Calibri" w:hAnsi="Calibri"/>
                <w:b w:val="0"/>
                <w:color w:val="16232B"/>
                <w:sz w:val="16"/>
                <w:spacing w:val="0"/>
                <w:kern w:val="0"/>
              </w:rPr>
              <w:t>127 proposed codes (50 FM + 77 macro/micro ID), one sequential series</w:t>
            </w:r>
          </w:p>
        </w:tc>
      </w:tr>
      <w:tr>
        <w:tc>
          <w:tcPr>
            <w:tcW w:type="dxa" w:w="3742"/>
            <w:vAlign w:val="center"/>
            <w:shd w:val="clear" w:color="auto" w:fill="F4F7FB"/>
          </w:tcPr>
          <w:p>
            <w:pPr>
              <w:spacing w:before="20" w:after="20"/>
              <w:jc w:val="left"/>
            </w:pPr>
            <w:r>
              <w:rPr>
                <w:rFonts w:ascii="Calibri" w:hAnsi="Calibri"/>
                <w:b w:val="0"/>
                <w:color w:val="16232B"/>
                <w:sz w:val="16"/>
                <w:spacing w:val="0"/>
                <w:kern w:val="0"/>
              </w:rPr>
              <w:t>ImB Product Specification catalogue</w:t>
            </w:r>
          </w:p>
        </w:tc>
        <w:tc>
          <w:tcPr>
            <w:tcW w:type="dxa" w:w="6236"/>
            <w:vAlign w:val="center"/>
            <w:shd w:val="clear" w:color="auto" w:fill="F4F7FB"/>
          </w:tcPr>
          <w:p>
            <w:pPr>
              <w:spacing w:before="20" w:after="20"/>
              <w:jc w:val="left"/>
            </w:pPr>
            <w:r>
              <w:rPr>
                <w:rFonts w:ascii="Calibri" w:hAnsi="Calibri"/>
                <w:b w:val="0"/>
                <w:color w:val="16232B"/>
                <w:sz w:val="16"/>
                <w:spacing w:val="0"/>
                <w:kern w:val="0"/>
              </w:rPr>
              <w:t>351 A4 PDF renders (BASE 125 · NEWs 48 · RENs 84 · T1/T2/T3+T1_rename 82 · root 12)</w:t>
            </w:r>
          </w:p>
        </w:tc>
      </w:tr>
      <w:tr>
        <w:tc>
          <w:tcPr>
            <w:tcW w:type="dxa" w:w="3742"/>
            <w:vAlign w:val="center"/>
            <w:shd w:val="clear" w:color="auto" w:fill="FFFFFF"/>
          </w:tcPr>
          <w:p>
            <w:pPr>
              <w:spacing w:before="20" w:after="20"/>
              <w:jc w:val="left"/>
            </w:pPr>
            <w:r>
              <w:rPr>
                <w:rFonts w:ascii="Calibri" w:hAnsi="Calibri"/>
                <w:b w:val="0"/>
                <w:color w:val="16232B"/>
                <w:sz w:val="16"/>
                <w:spacing w:val="0"/>
                <w:kern w:val="0"/>
              </w:rPr>
              <w:t>Letta host live audit</w:t>
            </w:r>
          </w:p>
        </w:tc>
        <w:tc>
          <w:tcPr>
            <w:tcW w:type="dxa" w:w="6236"/>
            <w:vAlign w:val="center"/>
            <w:shd w:val="clear" w:color="auto" w:fill="FFFFFF"/>
          </w:tcPr>
          <w:p>
            <w:pPr>
              <w:spacing w:before="20" w:after="20"/>
              <w:jc w:val="left"/>
            </w:pPr>
            <w:r>
              <w:rPr>
                <w:rFonts w:ascii="Calibri" w:hAnsi="Calibri"/>
                <w:b w:val="0"/>
                <w:color w:val="16232B"/>
                <w:sz w:val="16"/>
                <w:spacing w:val="0"/>
                <w:kern w:val="0"/>
              </w:rPr>
              <w:t>9 findings incl. auth gap + sandbox exposure; read-only, fixes pending owner</w:t>
            </w:r>
          </w:p>
        </w:tc>
      </w:tr>
      <w:tr>
        <w:tc>
          <w:tcPr>
            <w:tcW w:type="dxa" w:w="3742"/>
            <w:vAlign w:val="center"/>
            <w:shd w:val="clear" w:color="auto" w:fill="F4F7FB"/>
          </w:tcPr>
          <w:p>
            <w:pPr>
              <w:spacing w:before="20" w:after="20"/>
              <w:jc w:val="left"/>
            </w:pPr>
            <w:r>
              <w:rPr>
                <w:rFonts w:ascii="Calibri" w:hAnsi="Calibri"/>
                <w:b w:val="0"/>
                <w:color w:val="16232B"/>
                <w:sz w:val="16"/>
                <w:spacing w:val="0"/>
                <w:kern w:val="0"/>
              </w:rPr>
              <w:t>Phenotype/Chemotype evidence table</w:t>
            </w:r>
          </w:p>
        </w:tc>
        <w:tc>
          <w:tcPr>
            <w:tcW w:type="dxa" w:w="6236"/>
            <w:vAlign w:val="center"/>
            <w:shd w:val="clear" w:color="auto" w:fill="F4F7FB"/>
          </w:tcPr>
          <w:p>
            <w:pPr>
              <w:spacing w:before="20" w:after="20"/>
              <w:jc w:val="left"/>
            </w:pPr>
            <w:r>
              <w:rPr>
                <w:rFonts w:ascii="Calibri" w:hAnsi="Calibri"/>
                <w:b w:val="0"/>
                <w:color w:val="16232B"/>
                <w:sz w:val="16"/>
                <w:spacing w:val="0"/>
                <w:kern w:val="0"/>
              </w:rPr>
              <w:t>11 strains full, 3 chemo-only, 6 uncovered, 1 conflict (GG)</w:t>
            </w:r>
          </w:p>
        </w:tc>
      </w:tr>
    </w:tbl>
    <w:p>
      <w:pPr>
        <w:spacing w:before="240" w:after="140"/>
        <w:outlineLvl w:val="0"/>
      </w:pPr>
      <w:r>
        <w:rPr>
          <w:rFonts w:ascii="Calibri" w:hAnsi="Calibri"/>
          <w:b/>
          <w:i w:val="0"/>
          <w:color w:val="2B547E"/>
          <w:sz w:val="40"/>
          <w:spacing w:val="0"/>
          <w:kern w:val="0"/>
        </w:rPr>
        <w:t>3.  ПЛАН — НЕДЕЛА 17–21.08</w:t>
      </w:r>
      <w:r>
        <w:rPr>
          <w:rFonts w:ascii="Calibri" w:hAnsi="Calibri"/>
          <w:b w:val="0"/>
          <w:i w:val="0"/>
          <w:color w:val="595959"/>
          <w:sz w:val="36"/>
          <w:spacing w:val="0"/>
          <w:kern w:val="0"/>
        </w:rPr>
        <w:t xml:space="preserve">  |  </w:t>
      </w:r>
      <w:r>
        <w:rPr>
          <w:rFonts w:ascii="Calibri" w:hAnsi="Calibri"/>
          <w:b w:val="0"/>
          <w:i w:val="0"/>
          <w:color w:val="595959"/>
          <w:sz w:val="32"/>
          <w:spacing w:val="0"/>
          <w:kern w:val="0"/>
        </w:rPr>
        <w:t>Plan — Week Ahead 21.08</w:t>
      </w:r>
    </w:p>
    <w:tbl>
      <w:tblPr>
        <w:tblW w:type="auto" w:w="0"/>
        <w:tblLayout w:type="fixed"/>
        <w:tblLook w:firstColumn="1" w:firstRow="1" w:lastColumn="0" w:lastRow="0" w:noHBand="0" w:noVBand="1" w:val="04A0"/>
      </w:tblPr>
      <w:tblGrid>
        <w:gridCol w:w="3489"/>
        <w:gridCol w:w="3489"/>
        <w:gridCol w:w="3489"/>
      </w:tblGrid>
      <w:tr>
        <w:tc>
          <w:tcPr>
            <w:tcW w:type="dxa" w:w="567"/>
            <w:vAlign w:val="center"/>
            <w:shd w:val="clear" w:color="auto" w:fill="2B547E"/>
          </w:tcPr>
          <w:p>
            <w:pPr>
              <w:spacing w:before="20" w:after="20"/>
              <w:jc w:val="center"/>
            </w:pPr>
            <w:r>
              <w:rPr>
                <w:rFonts w:ascii="Calibri" w:hAnsi="Calibri"/>
                <w:b/>
                <w:color w:val="FFFFFF"/>
                <w:sz w:val="16"/>
                <w:spacing w:val="0"/>
                <w:kern w:val="0"/>
              </w:rPr>
              <w:t>№</w:t>
            </w:r>
          </w:p>
        </w:tc>
        <w:tc>
          <w:tcPr>
            <w:tcW w:type="dxa" w:w="7483"/>
            <w:vAlign w:val="center"/>
            <w:shd w:val="clear" w:color="auto" w:fill="2B547E"/>
          </w:tcPr>
          <w:p>
            <w:pPr>
              <w:spacing w:before="20" w:after="20"/>
              <w:jc w:val="center"/>
            </w:pPr>
            <w:r>
              <w:rPr>
                <w:rFonts w:ascii="Calibri" w:hAnsi="Calibri"/>
                <w:b/>
                <w:color w:val="FFFFFF"/>
                <w:sz w:val="16"/>
                <w:spacing w:val="0"/>
                <w:kern w:val="0"/>
              </w:rPr>
              <w:t>Активност | Action</w:t>
            </w:r>
          </w:p>
        </w:tc>
        <w:tc>
          <w:tcPr>
            <w:tcW w:type="dxa" w:w="1928"/>
            <w:vAlign w:val="center"/>
            <w:shd w:val="clear" w:color="auto" w:fill="2B547E"/>
          </w:tcPr>
          <w:p>
            <w:pPr>
              <w:spacing w:before="20" w:after="20"/>
              <w:jc w:val="center"/>
            </w:pPr>
            <w:r>
              <w:rPr>
                <w:rFonts w:ascii="Calibri" w:hAnsi="Calibri"/>
                <w:b/>
                <w:color w:val="FFFFFF"/>
                <w:sz w:val="16"/>
                <w:spacing w:val="0"/>
                <w:kern w:val="0"/>
              </w:rPr>
              <w:t>Цел | Target</w:t>
            </w:r>
          </w:p>
        </w:tc>
      </w:tr>
      <w:tr>
        <w:tc>
          <w:tcPr>
            <w:tcW w:type="dxa" w:w="567"/>
            <w:vAlign w:val="center"/>
            <w:shd w:val="clear" w:color="auto" w:fill="FFFFFF"/>
          </w:tcPr>
          <w:p>
            <w:pPr>
              <w:spacing w:before="20" w:after="20"/>
              <w:jc w:val="left"/>
            </w:pPr>
            <w:r>
              <w:rPr>
                <w:rFonts w:ascii="Calibri" w:hAnsi="Calibri"/>
                <w:b w:val="0"/>
                <w:color w:val="16232B"/>
                <w:sz w:val="16"/>
                <w:spacing w:val="0"/>
                <w:kern w:val="0"/>
              </w:rPr>
              <w:t>1</w:t>
            </w:r>
          </w:p>
        </w:tc>
        <w:tc>
          <w:tcPr>
            <w:tcW w:type="dxa" w:w="7483"/>
            <w:vAlign w:val="center"/>
            <w:shd w:val="clear" w:color="auto" w:fill="FFFFFF"/>
          </w:tcPr>
          <w:p>
            <w:pPr>
              <w:spacing w:before="20" w:after="20"/>
              <w:jc w:val="left"/>
            </w:pPr>
            <w:r>
              <w:rPr>
                <w:rFonts w:ascii="Calibri" w:hAnsi="Calibri"/>
                <w:b w:val="0"/>
                <w:color w:val="16232B"/>
                <w:sz w:val="16"/>
                <w:spacing w:val="0"/>
                <w:kern w:val="0"/>
              </w:rPr>
              <w:t>Формално издавање на 127 предложени интерни сертификати и 95 предложени сертификати за квалитет, по редоследот утврден во плановите за издавање | Formal issuance of 127 proposed in-house certificates and 95 proposed certificates of quality, per the issuance-order plans</w:t>
            </w:r>
          </w:p>
        </w:tc>
        <w:tc>
          <w:tcPr>
            <w:tcW w:type="dxa" w:w="1928"/>
            <w:vAlign w:val="center"/>
            <w:shd w:val="clear" w:color="auto" w:fill="FFFFFF"/>
          </w:tcPr>
          <w:p>
            <w:pPr>
              <w:spacing w:before="20" w:after="20"/>
              <w:jc w:val="left"/>
            </w:pPr>
            <w:r>
              <w:rPr>
                <w:rFonts w:ascii="Calibri" w:hAnsi="Calibri"/>
                <w:b w:val="0"/>
                <w:color w:val="16232B"/>
                <w:sz w:val="16"/>
                <w:spacing w:val="0"/>
                <w:kern w:val="0"/>
              </w:rPr>
              <w:t>датум: во очекување | date: pending</w:t>
            </w:r>
          </w:p>
        </w:tc>
      </w:tr>
      <w:tr>
        <w:tc>
          <w:tcPr>
            <w:tcW w:type="dxa" w:w="567"/>
            <w:vAlign w:val="center"/>
            <w:shd w:val="clear" w:color="auto" w:fill="F4F7FB"/>
          </w:tcPr>
          <w:p>
            <w:pPr>
              <w:spacing w:before="20" w:after="20"/>
              <w:jc w:val="left"/>
            </w:pPr>
            <w:r>
              <w:rPr>
                <w:rFonts w:ascii="Calibri" w:hAnsi="Calibri"/>
                <w:b w:val="0"/>
                <w:color w:val="16232B"/>
                <w:sz w:val="16"/>
                <w:spacing w:val="0"/>
                <w:kern w:val="0"/>
              </w:rPr>
              <w:t>2</w:t>
            </w:r>
          </w:p>
        </w:tc>
        <w:tc>
          <w:tcPr>
            <w:tcW w:type="dxa" w:w="7483"/>
            <w:vAlign w:val="center"/>
            <w:shd w:val="clear" w:color="auto" w:fill="F4F7FB"/>
          </w:tcPr>
          <w:p>
            <w:pPr>
              <w:spacing w:before="20" w:after="20"/>
              <w:jc w:val="left"/>
            </w:pPr>
            <w:r>
              <w:rPr>
                <w:rFonts w:ascii="Calibri" w:hAnsi="Calibri"/>
                <w:b w:val="0"/>
                <w:color w:val="16232B"/>
                <w:sz w:val="16"/>
                <w:spacing w:val="0"/>
                <w:kern w:val="0"/>
              </w:rPr>
              <w:t>Лоцирање, скенирање и внесување на сертификатите за 7-те серии од Прашање И-2 | Locate, scan and enter the certificates for the 7 batches in Issue И-2</w:t>
            </w:r>
          </w:p>
        </w:tc>
        <w:tc>
          <w:tcPr>
            <w:tcW w:type="dxa" w:w="1928"/>
            <w:vAlign w:val="center"/>
            <w:shd w:val="clear" w:color="auto" w:fill="F4F7FB"/>
          </w:tcPr>
          <w:p>
            <w:pPr>
              <w:spacing w:before="20" w:after="20"/>
              <w:jc w:val="left"/>
            </w:pPr>
            <w:r>
              <w:rPr>
                <w:rFonts w:ascii="Calibri" w:hAnsi="Calibri"/>
                <w:b w:val="0"/>
                <w:color w:val="16232B"/>
                <w:sz w:val="16"/>
                <w:spacing w:val="0"/>
                <w:kern w:val="0"/>
              </w:rPr>
              <w:t>датум: во очекување | date: pending</w:t>
            </w:r>
          </w:p>
        </w:tc>
      </w:tr>
      <w:tr>
        <w:tc>
          <w:tcPr>
            <w:tcW w:type="dxa" w:w="567"/>
            <w:vAlign w:val="center"/>
            <w:shd w:val="clear" w:color="auto" w:fill="FFFFFF"/>
          </w:tcPr>
          <w:p>
            <w:pPr>
              <w:spacing w:before="20" w:after="20"/>
              <w:jc w:val="left"/>
            </w:pPr>
            <w:r>
              <w:rPr>
                <w:rFonts w:ascii="Calibri" w:hAnsi="Calibri"/>
                <w:b w:val="0"/>
                <w:color w:val="16232B"/>
                <w:sz w:val="16"/>
                <w:spacing w:val="0"/>
                <w:kern w:val="0"/>
              </w:rPr>
              <w:t>3</w:t>
            </w:r>
          </w:p>
        </w:tc>
        <w:tc>
          <w:tcPr>
            <w:tcW w:type="dxa" w:w="7483"/>
            <w:vAlign w:val="center"/>
            <w:shd w:val="clear" w:color="auto" w:fill="FFFFFF"/>
          </w:tcPr>
          <w:p>
            <w:pPr>
              <w:spacing w:before="20" w:after="20"/>
              <w:jc w:val="left"/>
            </w:pPr>
            <w:r>
              <w:rPr>
                <w:rFonts w:ascii="Calibri" w:hAnsi="Calibri"/>
                <w:b w:val="0"/>
                <w:color w:val="16232B"/>
                <w:sz w:val="16"/>
                <w:spacing w:val="0"/>
                <w:kern w:val="0"/>
              </w:rPr>
              <w:t>Решавање на 9-те серии без сертификат за анализа (Прашање И-3) — потврда дали постои соодветна документација | Resolve the 9 no-certificate batches — confirm whether supporting documentation exists</w:t>
            </w:r>
          </w:p>
        </w:tc>
        <w:tc>
          <w:tcPr>
            <w:tcW w:type="dxa" w:w="1928"/>
            <w:vAlign w:val="center"/>
            <w:shd w:val="clear" w:color="auto" w:fill="FFFFFF"/>
          </w:tcPr>
          <w:p>
            <w:pPr>
              <w:spacing w:before="20" w:after="20"/>
              <w:jc w:val="left"/>
            </w:pPr>
            <w:r>
              <w:rPr>
                <w:rFonts w:ascii="Calibri" w:hAnsi="Calibri"/>
                <w:b w:val="0"/>
                <w:color w:val="16232B"/>
                <w:sz w:val="16"/>
                <w:spacing w:val="0"/>
                <w:kern w:val="0"/>
              </w:rPr>
              <w:t>датум: во очекување | date: pending</w:t>
            </w:r>
          </w:p>
        </w:tc>
      </w:tr>
      <w:tr>
        <w:tc>
          <w:tcPr>
            <w:tcW w:type="dxa" w:w="567"/>
            <w:vAlign w:val="center"/>
            <w:shd w:val="clear" w:color="auto" w:fill="F4F7FB"/>
          </w:tcPr>
          <w:p>
            <w:pPr>
              <w:spacing w:before="20" w:after="20"/>
              <w:jc w:val="left"/>
            </w:pPr>
            <w:r>
              <w:rPr>
                <w:rFonts w:ascii="Calibri" w:hAnsi="Calibri"/>
                <w:b w:val="0"/>
                <w:color w:val="16232B"/>
                <w:sz w:val="16"/>
                <w:spacing w:val="0"/>
                <w:kern w:val="0"/>
              </w:rPr>
              <w:t>4</w:t>
            </w:r>
          </w:p>
        </w:tc>
        <w:tc>
          <w:tcPr>
            <w:tcW w:type="dxa" w:w="7483"/>
            <w:vAlign w:val="center"/>
            <w:shd w:val="clear" w:color="auto" w:fill="F4F7FB"/>
          </w:tcPr>
          <w:p>
            <w:pPr>
              <w:spacing w:before="20" w:after="20"/>
              <w:jc w:val="left"/>
            </w:pPr>
            <w:r>
              <w:rPr>
                <w:rFonts w:ascii="Calibri" w:hAnsi="Calibri"/>
                <w:b w:val="0"/>
                <w:color w:val="16232B"/>
                <w:sz w:val="16"/>
                <w:spacing w:val="0"/>
                <w:kern w:val="0"/>
              </w:rPr>
              <w:t>Комплетирање на полињата за фенотип/хемотип во спецификациите за производ (одлука за Gorilla Glue, потврда на можните совпаѓања за две сорти, четири технички листови што недостасуваат) | Complete the phenotype/chemotype fields in the product specifications (Gorilla Glue decision, confirm two candidate strain matches, four missing supplier data sheets)</w:t>
            </w:r>
          </w:p>
        </w:tc>
        <w:tc>
          <w:tcPr>
            <w:tcW w:type="dxa" w:w="1928"/>
            <w:vAlign w:val="center"/>
            <w:shd w:val="clear" w:color="auto" w:fill="F4F7FB"/>
          </w:tcPr>
          <w:p>
            <w:pPr>
              <w:spacing w:before="20" w:after="20"/>
              <w:jc w:val="left"/>
            </w:pPr>
            <w:r>
              <w:rPr>
                <w:rFonts w:ascii="Calibri" w:hAnsi="Calibri"/>
                <w:b w:val="0"/>
                <w:color w:val="16232B"/>
                <w:sz w:val="16"/>
                <w:spacing w:val="0"/>
                <w:kern w:val="0"/>
              </w:rPr>
              <w:t>датум: во очекување | date: pending</w:t>
            </w:r>
          </w:p>
        </w:tc>
      </w:tr>
      <w:tr>
        <w:tc>
          <w:tcPr>
            <w:tcW w:type="dxa" w:w="567"/>
            <w:vAlign w:val="center"/>
            <w:shd w:val="clear" w:color="auto" w:fill="FFFFFF"/>
          </w:tcPr>
          <w:p>
            <w:pPr>
              <w:spacing w:before="20" w:after="20"/>
              <w:jc w:val="left"/>
            </w:pPr>
            <w:r>
              <w:rPr>
                <w:rFonts w:ascii="Calibri" w:hAnsi="Calibri"/>
                <w:b w:val="0"/>
                <w:color w:val="16232B"/>
                <w:sz w:val="16"/>
                <w:spacing w:val="0"/>
                <w:kern w:val="0"/>
              </w:rPr>
              <w:t>5</w:t>
            </w:r>
          </w:p>
        </w:tc>
        <w:tc>
          <w:tcPr>
            <w:tcW w:type="dxa" w:w="7483"/>
            <w:vAlign w:val="center"/>
            <w:shd w:val="clear" w:color="auto" w:fill="FFFFFF"/>
          </w:tcPr>
          <w:p>
            <w:pPr>
              <w:spacing w:before="20" w:after="20"/>
              <w:jc w:val="left"/>
            </w:pPr>
            <w:r>
              <w:rPr>
                <w:rFonts w:ascii="Calibri" w:hAnsi="Calibri"/>
                <w:b w:val="0"/>
                <w:color w:val="16232B"/>
                <w:sz w:val="16"/>
                <w:spacing w:val="0"/>
                <w:kern w:val="0"/>
              </w:rPr>
              <w:t>Работна книга за Транша 3 и внесување на слојот со преименувани сорти | Tranche 3 workbook and ingestion of the strain-rename layer</w:t>
            </w:r>
          </w:p>
        </w:tc>
        <w:tc>
          <w:tcPr>
            <w:tcW w:type="dxa" w:w="1928"/>
            <w:vAlign w:val="center"/>
            <w:shd w:val="clear" w:color="auto" w:fill="FFFFFF"/>
          </w:tcPr>
          <w:p>
            <w:pPr>
              <w:spacing w:before="20" w:after="20"/>
              <w:jc w:val="left"/>
            </w:pPr>
            <w:r>
              <w:rPr>
                <w:rFonts w:ascii="Calibri" w:hAnsi="Calibri"/>
                <w:b w:val="0"/>
                <w:color w:val="16232B"/>
                <w:sz w:val="16"/>
                <w:spacing w:val="0"/>
                <w:kern w:val="0"/>
              </w:rPr>
              <w:t>датум: во очекување | date: pending</w:t>
            </w:r>
          </w:p>
        </w:tc>
      </w:tr>
      <w:tr>
        <w:tc>
          <w:tcPr>
            <w:tcW w:type="dxa" w:w="567"/>
            <w:vAlign w:val="center"/>
            <w:shd w:val="clear" w:color="auto" w:fill="F4F7FB"/>
          </w:tcPr>
          <w:p>
            <w:pPr>
              <w:spacing w:before="20" w:after="20"/>
              <w:jc w:val="left"/>
            </w:pPr>
            <w:r>
              <w:rPr>
                <w:rFonts w:ascii="Calibri" w:hAnsi="Calibri"/>
                <w:b w:val="0"/>
                <w:color w:val="16232B"/>
                <w:sz w:val="16"/>
                <w:spacing w:val="0"/>
                <w:kern w:val="0"/>
              </w:rPr>
              <w:t>6</w:t>
            </w:r>
          </w:p>
        </w:tc>
        <w:tc>
          <w:tcPr>
            <w:tcW w:type="dxa" w:w="7483"/>
            <w:vAlign w:val="center"/>
            <w:shd w:val="clear" w:color="auto" w:fill="F4F7FB"/>
          </w:tcPr>
          <w:p>
            <w:pPr>
              <w:spacing w:before="20" w:after="20"/>
              <w:jc w:val="left"/>
            </w:pPr>
            <w:r>
              <w:rPr>
                <w:rFonts w:ascii="Calibri" w:hAnsi="Calibri"/>
                <w:b w:val="0"/>
                <w:color w:val="16232B"/>
                <w:sz w:val="16"/>
                <w:spacing w:val="0"/>
                <w:kern w:val="0"/>
              </w:rPr>
              <w:t>Распоред за земање мостри / мониторинг / чистење простории — да го внесе Контрола на квалитет | Sampling / monitoring / room-clearance schedule — to be entered by QC</w:t>
            </w:r>
          </w:p>
        </w:tc>
        <w:tc>
          <w:tcPr>
            <w:tcW w:type="dxa" w:w="1928"/>
            <w:vAlign w:val="center"/>
            <w:shd w:val="clear" w:color="auto" w:fill="F4F7FB"/>
          </w:tcPr>
          <w:p>
            <w:pPr>
              <w:spacing w:before="20" w:after="20"/>
              <w:jc w:val="center"/>
            </w:pPr>
            <w:r>
              <w:rPr>
                <w:rFonts w:ascii="Calibri" w:hAnsi="Calibri"/>
                <w:b w:val="0"/>
                <w:color w:val="16232B"/>
                <w:sz w:val="16"/>
                <w:spacing w:val="0"/>
                <w:kern w:val="0"/>
              </w:rPr>
              <w:t>—</w:t>
            </w:r>
          </w:p>
        </w:tc>
      </w:tr>
    </w:tbl>
    <w:p>
      <w:pPr>
        <w:spacing w:before="240" w:after="140"/>
        <w:outlineLvl w:val="0"/>
      </w:pPr>
      <w:r>
        <w:rPr>
          <w:rFonts w:ascii="Calibri" w:hAnsi="Calibri"/>
          <w:b/>
          <w:i w:val="0"/>
          <w:color w:val="2B547E"/>
          <w:sz w:val="40"/>
          <w:spacing w:val="0"/>
          <w:kern w:val="0"/>
        </w:rPr>
        <w:t>4.  АНЕКС — КОНСОЛИДИРАНА ВРЕМЕНСКА ЛЕНТА</w:t>
      </w:r>
      <w:r>
        <w:rPr>
          <w:rFonts w:ascii="Calibri" w:hAnsi="Calibri"/>
          <w:b w:val="0"/>
          <w:i w:val="0"/>
          <w:color w:val="595959"/>
          <w:sz w:val="36"/>
          <w:spacing w:val="0"/>
          <w:kern w:val="0"/>
        </w:rPr>
        <w:t xml:space="preserve">  |  </w:t>
      </w:r>
      <w:r>
        <w:rPr>
          <w:rFonts w:ascii="Calibri" w:hAnsi="Calibri"/>
          <w:b w:val="0"/>
          <w:i w:val="0"/>
          <w:color w:val="595959"/>
          <w:sz w:val="32"/>
          <w:spacing w:val="0"/>
          <w:kern w:val="0"/>
        </w:rPr>
        <w:t>Annex — Consolidated Work-Time Band</w:t>
      </w:r>
    </w:p>
    <w:p>
      <w:pPr>
        <w:spacing w:before="40" w:after="40" w:line="254" w:lineRule="auto"/>
        <w:jc w:val="left"/>
      </w:pPr>
      <w:r>
        <w:rPr>
          <w:rFonts w:ascii="Calibri" w:hAnsi="Calibri"/>
          <w:b w:val="0"/>
          <w:i/>
          <w:color w:val="4A5B6C"/>
          <w:sz w:val="18"/>
          <w:spacing w:val="0"/>
          <w:kern w:val="0"/>
        </w:rPr>
        <w:t>Четири паралелни работни сесии прикажани на еден заеднички линијар по часови (Скопје). Бројувани се само активности поврзани со содржината на Purely Plant; работата околу поставувањето и одржувањето на инфраструктурата (на пр. конфигурација и поправка на Docker-стекот) е исклучена, додека работата на инстанцата на Letta — нејзината база на знаење, базите за меморија и агенти, и податоците за Контрола на квалитет во неа — е сметана како содржина на Purely Plant. Методологиите на изворите се различни и НЕ се собираат меѓу себе: полно пополнето = докажано време (транскрипт/алатки/git); шрафирано = распон или проценка. | Four parallel work sessions shown on one shared hour ruler (Skopje). Only Purely Plant content work is counted; infrastructure setup and maintenance (e.g. Docker-stack configuration and repair) is excluded, while work on the Letta host itself — its knowledgebase, its memory/agent databases, and the QC data held in them — counts as Purely Plant content. Source methodologies differ and are NOT summable: solid = evidenced time (transcript/tool/git); hatched = span or estimate.</w:t>
      </w:r>
    </w:p>
    <w:p>
      <w:pPr>
        <w:jc w:val="center"/>
      </w:pPr>
      <w:r>
        <w:rPr>
          <w:spacing w:val="0"/>
          <w:kern w:val="0"/>
        </w:rPr>
        <w:drawing>
          <wp:inline xmlns:a="http://schemas.openxmlformats.org/drawingml/2006/main" xmlns:pic="http://schemas.openxmlformats.org/drawingml/2006/picture">
            <wp:extent cx="5580000" cy="2055789"/>
            <wp:docPr id="1" name="Picture 1"/>
            <wp:cNvGraphicFramePr>
              <a:graphicFrameLocks noChangeAspect="1"/>
            </wp:cNvGraphicFramePr>
            <a:graphic>
              <a:graphicData uri="http://schemas.openxmlformats.org/drawingml/2006/picture">
                <pic:pic>
                  <pic:nvPicPr>
                    <pic:cNvPr id="0" name="consolidated_ruler.png"/>
                    <pic:cNvPicPr/>
                  </pic:nvPicPr>
                  <pic:blipFill>
                    <a:blip r:embed="rId11"/>
                    <a:stretch>
                      <a:fillRect/>
                    </a:stretch>
                  </pic:blipFill>
                  <pic:spPr>
                    <a:xfrm>
                      <a:off x="0" y="0"/>
                      <a:ext cx="5580000" cy="2055789"/>
                    </a:xfrm>
                    <a:prstGeom prst="rect"/>
                  </pic:spPr>
                </pic:pic>
              </a:graphicData>
            </a:graphic>
          </wp:inline>
        </w:drawing>
      </w:r>
    </w:p>
    <w:p>
      <w:pPr>
        <w:spacing w:before="20" w:after="160"/>
        <w:jc w:val="center"/>
      </w:pPr>
      <w:r>
        <w:rPr>
          <w:rFonts w:ascii="Calibri" w:hAnsi="Calibri"/>
          <w:b/>
          <w:i w:val="0"/>
          <w:color w:val="2B547E"/>
          <w:sz w:val="18"/>
          <w:spacing w:val="0"/>
          <w:kern w:val="0"/>
        </w:rPr>
        <w:t xml:space="preserve">Слика | Figure — </w:t>
      </w:r>
      <w:r>
        <w:rPr>
          <w:rFonts w:ascii="Calibri" w:hAnsi="Calibri"/>
          <w:b w:val="0"/>
          <w:i/>
          <w:color w:val="595959"/>
          <w:sz w:val="18"/>
          <w:spacing w:val="0"/>
          <w:kern w:val="0"/>
        </w:rPr>
        <w:t>Консолидирана лента: четири сесии, само содржина на Purely Plant, Вт 16:00 → Пет 08:00</w:t>
      </w:r>
      <w:r>
        <w:rPr>
          <w:rFonts w:ascii="Calibri" w:hAnsi="Calibri"/>
          <w:b w:val="0"/>
          <w:i w:val="0"/>
          <w:color w:val="595959"/>
          <w:sz w:val="16"/>
          <w:spacing w:val="0"/>
          <w:kern w:val="0"/>
        </w:rPr>
        <w:t xml:space="preserve">  |  </w:t>
      </w:r>
      <w:r>
        <w:rPr>
          <w:rFonts w:ascii="Calibri" w:hAnsi="Calibri"/>
          <w:b w:val="0"/>
          <w:i/>
          <w:color w:val="595959"/>
          <w:sz w:val="18"/>
          <w:spacing w:val="0"/>
          <w:kern w:val="0"/>
        </w:rPr>
        <w:t>Consolidated band: four sessions, Purely Plant content only, Tue 16:00 → Fri 08:00</w:t>
      </w:r>
    </w:p>
    <w:tbl>
      <w:tblPr>
        <w:tblW w:type="auto" w:w="0"/>
        <w:tblLayout w:type="fixed"/>
        <w:tblLook w:firstColumn="1" w:firstRow="1" w:lastColumn="0" w:lastRow="0" w:noHBand="0" w:noVBand="1" w:val="04A0"/>
      </w:tblPr>
      <w:tblGrid>
        <w:gridCol w:w="3489"/>
        <w:gridCol w:w="3489"/>
        <w:gridCol w:w="3489"/>
      </w:tblGrid>
      <w:tr>
        <w:tc>
          <w:tcPr>
            <w:tcW w:type="dxa" w:w="4309"/>
            <w:vAlign w:val="center"/>
            <w:shd w:val="clear" w:color="auto" w:fill="2B547E"/>
          </w:tcPr>
          <w:p>
            <w:pPr>
              <w:spacing w:before="20" w:after="20"/>
              <w:jc w:val="center"/>
            </w:pPr>
            <w:r>
              <w:rPr>
                <w:rFonts w:ascii="Calibri" w:hAnsi="Calibri"/>
                <w:b/>
                <w:color w:val="FFFFFF"/>
                <w:sz w:val="16"/>
                <w:spacing w:val="0"/>
                <w:kern w:val="0"/>
              </w:rPr>
              <w:t>Извор | Source</w:t>
            </w:r>
          </w:p>
        </w:tc>
        <w:tc>
          <w:tcPr>
            <w:tcW w:type="dxa" w:w="3969"/>
            <w:vAlign w:val="center"/>
            <w:shd w:val="clear" w:color="auto" w:fill="2B547E"/>
          </w:tcPr>
          <w:p>
            <w:pPr>
              <w:spacing w:before="20" w:after="20"/>
              <w:jc w:val="center"/>
            </w:pPr>
            <w:r>
              <w:rPr>
                <w:rFonts w:ascii="Calibri" w:hAnsi="Calibri"/>
                <w:b/>
                <w:color w:val="FFFFFF"/>
                <w:sz w:val="16"/>
                <w:spacing w:val="0"/>
                <w:kern w:val="0"/>
              </w:rPr>
              <w:t>Мерка | Measure</w:t>
            </w:r>
          </w:p>
        </w:tc>
        <w:tc>
          <w:tcPr>
            <w:tcW w:type="dxa" w:w="1701"/>
            <w:vAlign w:val="center"/>
            <w:shd w:val="clear" w:color="auto" w:fill="2B547E"/>
          </w:tcPr>
          <w:p>
            <w:pPr>
              <w:spacing w:before="20" w:after="20"/>
              <w:jc w:val="center"/>
            </w:pPr>
            <w:r>
              <w:rPr>
                <w:rFonts w:ascii="Calibri" w:hAnsi="Calibri"/>
                <w:b/>
                <w:color w:val="FFFFFF"/>
                <w:sz w:val="16"/>
                <w:spacing w:val="0"/>
                <w:kern w:val="0"/>
              </w:rPr>
              <w:t>Часови (PP-содржина) | Hours (PP content)</w:t>
            </w:r>
          </w:p>
        </w:tc>
      </w:tr>
      <w:tr>
        <w:tc>
          <w:tcPr>
            <w:tcW w:type="dxa" w:w="4309"/>
            <w:vAlign w:val="center"/>
            <w:shd w:val="clear" w:color="auto" w:fill="FFFFFF"/>
          </w:tcPr>
          <w:p>
            <w:pPr>
              <w:spacing w:before="20" w:after="20"/>
              <w:jc w:val="left"/>
            </w:pPr>
            <w:r>
              <w:rPr>
                <w:rFonts w:ascii="Calibri" w:hAnsi="Calibri"/>
                <w:b w:val="0"/>
                <w:color w:val="16232B"/>
                <w:sz w:val="16"/>
                <w:spacing w:val="0"/>
                <w:kern w:val="0"/>
              </w:rPr>
              <w:t>Сесија за QC-податоци | QC data session</w:t>
            </w:r>
          </w:p>
        </w:tc>
        <w:tc>
          <w:tcPr>
            <w:tcW w:type="dxa" w:w="3969"/>
            <w:vAlign w:val="center"/>
            <w:shd w:val="clear" w:color="auto" w:fill="FFFFFF"/>
          </w:tcPr>
          <w:p>
            <w:pPr>
              <w:spacing w:before="20" w:after="20"/>
              <w:jc w:val="left"/>
            </w:pPr>
            <w:r>
              <w:rPr>
                <w:rFonts w:ascii="Calibri" w:hAnsi="Calibri"/>
                <w:b w:val="0"/>
                <w:color w:val="16232B"/>
                <w:sz w:val="16"/>
                <w:spacing w:val="0"/>
                <w:kern w:val="0"/>
              </w:rPr>
              <w:t>транскрипт | transcript-witnessed</w:t>
            </w:r>
          </w:p>
        </w:tc>
        <w:tc>
          <w:tcPr>
            <w:tcW w:type="dxa" w:w="1701"/>
            <w:vAlign w:val="center"/>
            <w:shd w:val="clear" w:color="auto" w:fill="FFFFFF"/>
          </w:tcPr>
          <w:p>
            <w:pPr>
              <w:spacing w:before="20" w:after="20"/>
              <w:jc w:val="center"/>
            </w:pPr>
            <w:r>
              <w:rPr>
                <w:rFonts w:ascii="Calibri" w:hAnsi="Calibri"/>
                <w:b w:val="0"/>
                <w:color w:val="16232B"/>
                <w:sz w:val="16"/>
                <w:spacing w:val="0"/>
                <w:kern w:val="0"/>
              </w:rPr>
              <w:t>4.9</w:t>
            </w:r>
          </w:p>
        </w:tc>
      </w:tr>
      <w:tr>
        <w:tc>
          <w:tcPr>
            <w:tcW w:type="dxa" w:w="4309"/>
            <w:vAlign w:val="center"/>
            <w:shd w:val="clear" w:color="auto" w:fill="F4F7FB"/>
          </w:tcPr>
          <w:p>
            <w:pPr>
              <w:spacing w:before="20" w:after="20"/>
              <w:jc w:val="left"/>
            </w:pPr>
            <w:r>
              <w:rPr>
                <w:rFonts w:ascii="Calibri" w:hAnsi="Calibri"/>
                <w:b w:val="0"/>
                <w:color w:val="16232B"/>
                <w:sz w:val="16"/>
                <w:spacing w:val="0"/>
                <w:kern w:val="0"/>
              </w:rPr>
              <w:t>Letta host — засведочено | witnessed</w:t>
            </w:r>
          </w:p>
        </w:tc>
        <w:tc>
          <w:tcPr>
            <w:tcW w:type="dxa" w:w="3969"/>
            <w:vAlign w:val="center"/>
            <w:shd w:val="clear" w:color="auto" w:fill="F4F7FB"/>
          </w:tcPr>
          <w:p>
            <w:pPr>
              <w:spacing w:before="20" w:after="20"/>
              <w:jc w:val="left"/>
            </w:pPr>
            <w:r>
              <w:rPr>
                <w:rFonts w:ascii="Calibri" w:hAnsi="Calibri"/>
                <w:b w:val="0"/>
                <w:color w:val="16232B"/>
                <w:sz w:val="16"/>
                <w:spacing w:val="0"/>
                <w:kern w:val="0"/>
              </w:rPr>
              <w:t>временски печати на алатки | tool timestamps</w:t>
            </w:r>
          </w:p>
        </w:tc>
        <w:tc>
          <w:tcPr>
            <w:tcW w:type="dxa" w:w="1701"/>
            <w:vAlign w:val="center"/>
            <w:shd w:val="clear" w:color="auto" w:fill="F4F7FB"/>
          </w:tcPr>
          <w:p>
            <w:pPr>
              <w:spacing w:before="20" w:after="20"/>
              <w:jc w:val="center"/>
            </w:pPr>
            <w:r>
              <w:rPr>
                <w:rFonts w:ascii="Calibri" w:hAnsi="Calibri"/>
                <w:b w:val="0"/>
                <w:color w:val="16232B"/>
                <w:sz w:val="16"/>
                <w:spacing w:val="0"/>
                <w:kern w:val="0"/>
              </w:rPr>
              <w:t>5.3</w:t>
            </w:r>
          </w:p>
        </w:tc>
      </w:tr>
      <w:tr>
        <w:tc>
          <w:tcPr>
            <w:tcW w:type="dxa" w:w="4309"/>
            <w:vAlign w:val="center"/>
            <w:shd w:val="clear" w:color="auto" w:fill="FFFFFF"/>
          </w:tcPr>
          <w:p>
            <w:pPr>
              <w:spacing w:before="20" w:after="20"/>
              <w:jc w:val="left"/>
            </w:pPr>
            <w:r>
              <w:rPr>
                <w:rFonts w:ascii="Calibri" w:hAnsi="Calibri"/>
                <w:b w:val="0"/>
                <w:color w:val="16232B"/>
                <w:sz w:val="16"/>
                <w:spacing w:val="0"/>
                <w:kern w:val="0"/>
              </w:rPr>
              <w:t>Letta host — распон по PR | checkpoint span</w:t>
            </w:r>
          </w:p>
        </w:tc>
        <w:tc>
          <w:tcPr>
            <w:tcW w:type="dxa" w:w="3969"/>
            <w:vAlign w:val="center"/>
            <w:shd w:val="clear" w:color="auto" w:fill="FFFFFF"/>
          </w:tcPr>
          <w:p>
            <w:pPr>
              <w:spacing w:before="20" w:after="20"/>
              <w:jc w:val="left"/>
            </w:pPr>
            <w:r>
              <w:rPr>
                <w:rFonts w:ascii="Calibri" w:hAnsi="Calibri"/>
                <w:b w:val="0"/>
                <w:color w:val="16232B"/>
                <w:sz w:val="16"/>
                <w:spacing w:val="0"/>
                <w:kern w:val="0"/>
              </w:rPr>
              <w:t>PR отворен→споен, не е ангажман | PR open→merge, not hands-on</w:t>
            </w:r>
          </w:p>
        </w:tc>
        <w:tc>
          <w:tcPr>
            <w:tcW w:type="dxa" w:w="1701"/>
            <w:vAlign w:val="center"/>
            <w:shd w:val="clear" w:color="auto" w:fill="FFFFFF"/>
          </w:tcPr>
          <w:p>
            <w:pPr>
              <w:spacing w:before="20" w:after="20"/>
              <w:jc w:val="center"/>
            </w:pPr>
            <w:r>
              <w:rPr>
                <w:rFonts w:ascii="Calibri" w:hAnsi="Calibri"/>
                <w:b w:val="0"/>
                <w:color w:val="16232B"/>
                <w:sz w:val="16"/>
                <w:spacing w:val="0"/>
                <w:kern w:val="0"/>
              </w:rPr>
              <w:t>52.8</w:t>
            </w:r>
          </w:p>
        </w:tc>
      </w:tr>
      <w:tr>
        <w:tc>
          <w:tcPr>
            <w:tcW w:type="dxa" w:w="4309"/>
            <w:vAlign w:val="center"/>
            <w:shd w:val="clear" w:color="auto" w:fill="F4F7FB"/>
          </w:tcPr>
          <w:p>
            <w:pPr>
              <w:spacing w:before="20" w:after="20"/>
              <w:jc w:val="left"/>
            </w:pPr>
            <w:r>
              <w:rPr>
                <w:rFonts w:ascii="Calibri" w:hAnsi="Calibri"/>
                <w:b w:val="0"/>
                <w:color w:val="16232B"/>
                <w:sz w:val="16"/>
                <w:spacing w:val="0"/>
                <w:kern w:val="0"/>
              </w:rPr>
              <w:t>WWF-платформа — само PP-содржина | PP content only</w:t>
            </w:r>
          </w:p>
        </w:tc>
        <w:tc>
          <w:tcPr>
            <w:tcW w:type="dxa" w:w="3969"/>
            <w:vAlign w:val="center"/>
            <w:shd w:val="clear" w:color="auto" w:fill="F4F7FB"/>
          </w:tcPr>
          <w:p>
            <w:pPr>
              <w:spacing w:before="20" w:after="20"/>
              <w:jc w:val="center"/>
            </w:pPr>
            <w:r>
              <w:rPr>
                <w:rFonts w:ascii="Calibri" w:hAnsi="Calibri"/>
                <w:b w:val="0"/>
                <w:color w:val="16232B"/>
                <w:sz w:val="16"/>
                <w:spacing w:val="0"/>
                <w:kern w:val="0"/>
              </w:rPr>
              <w:t>git коммити | git commits</w:t>
            </w:r>
          </w:p>
        </w:tc>
        <w:tc>
          <w:tcPr>
            <w:tcW w:type="dxa" w:w="1701"/>
            <w:vAlign w:val="center"/>
            <w:shd w:val="clear" w:color="auto" w:fill="F4F7FB"/>
          </w:tcPr>
          <w:p>
            <w:pPr>
              <w:spacing w:before="20" w:after="20"/>
              <w:jc w:val="center"/>
            </w:pPr>
            <w:r>
              <w:rPr>
                <w:rFonts w:ascii="Calibri" w:hAnsi="Calibri"/>
                <w:b w:val="0"/>
                <w:color w:val="16232B"/>
                <w:sz w:val="16"/>
                <w:spacing w:val="0"/>
                <w:kern w:val="0"/>
              </w:rPr>
              <w:t>1.7</w:t>
            </w:r>
          </w:p>
        </w:tc>
      </w:tr>
      <w:tr>
        <w:tc>
          <w:tcPr>
            <w:tcW w:type="dxa" w:w="4309"/>
            <w:vAlign w:val="center"/>
            <w:shd w:val="clear" w:color="auto" w:fill="FFFFFF"/>
          </w:tcPr>
          <w:p>
            <w:pPr>
              <w:spacing w:before="20" w:after="20"/>
              <w:jc w:val="left"/>
            </w:pPr>
            <w:r>
              <w:rPr>
                <w:rFonts w:ascii="Calibri" w:hAnsi="Calibri"/>
                <w:b w:val="0"/>
                <w:color w:val="16232B"/>
                <w:sz w:val="16"/>
                <w:spacing w:val="0"/>
                <w:kern w:val="0"/>
              </w:rPr>
              <w:t>ImB спецификации | ImB spec design</w:t>
            </w:r>
          </w:p>
        </w:tc>
        <w:tc>
          <w:tcPr>
            <w:tcW w:type="dxa" w:w="3969"/>
            <w:vAlign w:val="center"/>
            <w:shd w:val="clear" w:color="auto" w:fill="FFFFFF"/>
          </w:tcPr>
          <w:p>
            <w:pPr>
              <w:spacing w:before="20" w:after="20"/>
              <w:jc w:val="left"/>
            </w:pPr>
            <w:r>
              <w:rPr>
                <w:rFonts w:ascii="Calibri" w:hAnsi="Calibri"/>
                <w:b w:val="0"/>
                <w:color w:val="16232B"/>
                <w:sz w:val="16"/>
                <w:spacing w:val="0"/>
                <w:kern w:val="0"/>
              </w:rPr>
              <w:t>проценка од сесиска активност | session estimate</w:t>
            </w:r>
          </w:p>
        </w:tc>
        <w:tc>
          <w:tcPr>
            <w:tcW w:type="dxa" w:w="1701"/>
            <w:vAlign w:val="center"/>
            <w:shd w:val="clear" w:color="auto" w:fill="FFFFFF"/>
          </w:tcPr>
          <w:p>
            <w:pPr>
              <w:spacing w:before="20" w:after="20"/>
              <w:jc w:val="center"/>
            </w:pPr>
            <w:r>
              <w:rPr>
                <w:rFonts w:ascii="Calibri" w:hAnsi="Calibri"/>
                <w:b w:val="0"/>
                <w:color w:val="16232B"/>
                <w:sz w:val="16"/>
                <w:spacing w:val="0"/>
                <w:kern w:val="0"/>
              </w:rPr>
              <w:t>35.0</w:t>
            </w:r>
          </w:p>
        </w:tc>
      </w:tr>
    </w:tbl>
    <w:tbl>
      <w:tblPr>
        <w:tblW w:type="auto" w:w="0"/>
        <w:tblLayout w:type="fixed"/>
        <w:tblLook w:firstColumn="1" w:firstRow="1" w:lastColumn="0" w:lastRow="0" w:noHBand="0" w:noVBand="1" w:val="04A0"/>
      </w:tblPr>
      <w:tblGrid>
        <w:gridCol w:w="5233"/>
        <w:gridCol w:w="5233"/>
      </w:tblGrid>
      <w:tr>
        <w:tc>
          <w:tcPr>
            <w:tcW w:type="dxa" w:w="8277"/>
            <w:vAlign w:val="center"/>
            <w:shd w:val="clear" w:color="auto" w:fill="2B547E"/>
          </w:tcPr>
          <w:p>
            <w:pPr>
              <w:spacing w:before="20" w:after="20"/>
              <w:jc w:val="center"/>
            </w:pPr>
            <w:r>
              <w:rPr>
                <w:rFonts w:ascii="Calibri" w:hAnsi="Calibri"/>
                <w:b/>
                <w:color w:val="FFFFFF"/>
                <w:sz w:val="16"/>
                <w:spacing w:val="0"/>
                <w:kern w:val="0"/>
              </w:rPr>
              <w:t>Исклучено (не е содржина на Purely Plant) | Excluded (not PP content)</w:t>
            </w:r>
          </w:p>
        </w:tc>
        <w:tc>
          <w:tcPr>
            <w:tcW w:type="dxa" w:w="1701"/>
            <w:vAlign w:val="center"/>
            <w:shd w:val="clear" w:color="auto" w:fill="2B547E"/>
          </w:tcPr>
          <w:p>
            <w:pPr>
              <w:spacing w:before="20" w:after="20"/>
              <w:jc w:val="center"/>
            </w:pPr>
            <w:r>
              <w:rPr>
                <w:rFonts w:ascii="Calibri" w:hAnsi="Calibri"/>
                <w:b/>
                <w:color w:val="FFFFFF"/>
                <w:sz w:val="16"/>
                <w:spacing w:val="0"/>
                <w:kern w:val="0"/>
              </w:rPr>
              <w:t>Часови | Hours</w:t>
            </w:r>
          </w:p>
        </w:tc>
      </w:tr>
      <w:tr>
        <w:tc>
          <w:tcPr>
            <w:tcW w:type="dxa" w:w="8277"/>
            <w:vAlign w:val="center"/>
            <w:shd w:val="clear" w:color="auto" w:fill="FFFFFF"/>
          </w:tcPr>
          <w:p>
            <w:pPr>
              <w:spacing w:before="20" w:after="20"/>
              <w:jc w:val="left"/>
            </w:pPr>
            <w:r>
              <w:rPr>
                <w:rFonts w:ascii="Calibri" w:hAnsi="Calibri"/>
                <w:b w:val="0"/>
                <w:color w:val="16232B"/>
                <w:sz w:val="16"/>
                <w:spacing w:val="0"/>
                <w:kern w:val="0"/>
              </w:rPr>
              <w:t>Конфигурација и поправка на Docker/стек | container-stack configuration &amp; repair</w:t>
            </w:r>
          </w:p>
        </w:tc>
        <w:tc>
          <w:tcPr>
            <w:tcW w:type="dxa" w:w="1701"/>
            <w:vAlign w:val="center"/>
            <w:shd w:val="clear" w:color="auto" w:fill="FFFFFF"/>
          </w:tcPr>
          <w:p>
            <w:pPr>
              <w:spacing w:before="20" w:after="20"/>
              <w:jc w:val="left"/>
            </w:pPr>
            <w:r>
              <w:rPr>
                <w:rFonts w:ascii="Calibri" w:hAnsi="Calibri"/>
                <w:b w:val="0"/>
                <w:color w:val="16232B"/>
                <w:sz w:val="16"/>
                <w:spacing w:val="0"/>
                <w:kern w:val="0"/>
              </w:rPr>
              <w:t>надвор од опфат | out of scope</w:t>
            </w:r>
          </w:p>
        </w:tc>
      </w:tr>
      <w:tr>
        <w:tc>
          <w:tcPr>
            <w:tcW w:type="dxa" w:w="8277"/>
            <w:vAlign w:val="center"/>
            <w:shd w:val="clear" w:color="auto" w:fill="F4F7FB"/>
          </w:tcPr>
          <w:p>
            <w:pPr>
              <w:spacing w:before="20" w:after="20"/>
              <w:jc w:val="left"/>
            </w:pPr>
            <w:r>
              <w:rPr>
                <w:rFonts w:ascii="Calibri" w:hAnsi="Calibri"/>
                <w:b w:val="0"/>
                <w:color w:val="16232B"/>
                <w:sz w:val="16"/>
                <w:spacing w:val="0"/>
                <w:kern w:val="0"/>
              </w:rPr>
              <w:t>WWF: тест-суити и продукциски deploy (v88/v128) | test suites &amp; production deploy</w:t>
            </w:r>
          </w:p>
        </w:tc>
        <w:tc>
          <w:tcPr>
            <w:tcW w:type="dxa" w:w="1701"/>
            <w:vAlign w:val="center"/>
            <w:shd w:val="clear" w:color="auto" w:fill="F4F7FB"/>
          </w:tcPr>
          <w:p>
            <w:pPr>
              <w:spacing w:before="20" w:after="20"/>
              <w:jc w:val="center"/>
            </w:pPr>
            <w:r>
              <w:rPr>
                <w:rFonts w:ascii="Calibri" w:hAnsi="Calibri"/>
                <w:b w:val="0"/>
                <w:color w:val="16232B"/>
                <w:sz w:val="16"/>
                <w:spacing w:val="0"/>
                <w:kern w:val="0"/>
              </w:rPr>
              <w:t>0,9 h</w:t>
            </w:r>
          </w:p>
        </w:tc>
      </w:tr>
      <w:tr>
        <w:tc>
          <w:tcPr>
            <w:tcW w:type="dxa" w:w="8277"/>
            <w:vAlign w:val="center"/>
            <w:shd w:val="clear" w:color="auto" w:fill="FFFFFF"/>
          </w:tcPr>
          <w:p>
            <w:pPr>
              <w:spacing w:before="20" w:after="20"/>
              <w:jc w:val="left"/>
            </w:pPr>
            <w:r>
              <w:rPr>
                <w:rFonts w:ascii="Calibri" w:hAnsi="Calibri"/>
                <w:b w:val="0"/>
                <w:color w:val="16232B"/>
                <w:sz w:val="16"/>
                <w:spacing w:val="0"/>
                <w:kern w:val="0"/>
              </w:rPr>
              <w:t>Позадинско следење на репозиториуми без PP-содржина | background monitoring, non-PP repos</w:t>
            </w:r>
          </w:p>
        </w:tc>
        <w:tc>
          <w:tcPr>
            <w:tcW w:type="dxa" w:w="1701"/>
            <w:vAlign w:val="center"/>
            <w:shd w:val="clear" w:color="auto" w:fill="FFFFFF"/>
          </w:tcPr>
          <w:p>
            <w:pPr>
              <w:spacing w:before="20" w:after="20"/>
              <w:jc w:val="center"/>
            </w:pPr>
            <w:r>
              <w:rPr>
                <w:rFonts w:ascii="Calibri" w:hAnsi="Calibri"/>
                <w:b w:val="0"/>
                <w:color w:val="16232B"/>
                <w:sz w:val="16"/>
                <w:spacing w:val="0"/>
                <w:kern w:val="0"/>
              </w:rPr>
              <w:t>13,8 h</w:t>
            </w:r>
          </w:p>
        </w:tc>
      </w:tr>
    </w:tbl>
    <w:p>
      <w:pPr>
        <w:spacing w:before="80" w:after="40" w:line="254" w:lineRule="auto"/>
        <w:jc w:val="left"/>
      </w:pPr>
      <w:r>
        <w:rPr>
          <w:rFonts w:ascii="Calibri" w:hAnsi="Calibri"/>
          <w:b w:val="0"/>
          <w:i/>
          <w:color w:val="6B7785"/>
          <w:sz w:val="15"/>
          <w:spacing w:val="0"/>
          <w:kern w:val="0"/>
        </w:rPr>
        <w:t>Потекло | Provenance: (1) QC_Activity_Timeline_11-14Aug2026.docx — транскрипт-извор; (2) Запис за временска лента по семејства задачи (интерна ознака PP-OPS-TIME-2026-08-14) — временски печати на алатки/датотеки во оваа сесија; (3) Запис за временска лента на работата (интерна ознака WWF-TIMELINE-2026-0814) — евиденција од git-коммити и продукциски пуштања во употреба; (4) Работен временски преглед (11-14 Aug 2026) — проценки од активноста на сесиите. Ниту една изворна бројка не е менувана при консолидацијата; секое намалување е избор на подмножество од сопствените, поединечни редови на изворот (гл. merge_timelines.py). | No source figure was altered in consolidation; every reduction is a subset selection of that source's own itemised rows (see merge_timelines.py).</w:t>
      </w:r>
    </w:p>
    <w:sectPr w:rsidR="00433AE1" w:rsidRPr="00E10D5A" w:rsidSect="00522430">
      <w:headerReference w:type="first" r:id="rId7"/>
      <w:headerReference w:type="default" r:id="rId7"/>
      <w:footerReference w:type="default" r:id="rId8"/>
      <w:pgSz w:w="11906" w:h="16838" w:code="9"/>
      <w:pgMar w:top="540" w:right="720" w:bottom="630" w:left="720" w:header="567" w:footer="144" w:gutter="0"/>
      <w:cols w:space="720"/>
      <w:docGrid w:linePitch="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tcPr>
        <w:p w14:paraId="1CC0778B" w14:textId="77777777" w:rsidR="0034733B" w:rsidRPr="00BB324F" w:rsidRDefault="00000000" w:rsidP="005D26C6">
          <w:pPr>
            <w:tabs>
              <w:tab w:val="center" w:pos="4513"/>
              <w:tab w:val="right" w:pos="9026"/>
            </w:tabs>
            <w:spacing w:line="192" w:lineRule="auto"/>
            <w:contextualSpacing/>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НЕДЕЛЕН ПЛАН/ИЗВЕШТАЈ НА КОНТРОЛА НА КВАЛИТЕТ</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t xml:space="preserve"> | </w:t>
          </w:r>
          <w:r w:rsidR="002325F2">
            <w:rPr>
              <w:rFonts w:ascii="Arial Narrow" w:hAnsi="Arial Narrow" w:cs="Arial Narrow"/>
              <w:sz w:val="24"/>
              <w:szCs w:val="24"/>
            </w:rPr>
            <w:br/>
          </w:r>
          <w:r w:rsidRPr="002325F2">
            <w:rPr>
              <w:rFonts w:ascii="Arial Narrow" w:hAnsi="Arial Narrow" w:cs="Arial Narrow"/>
            </w:rPr>
            <w:t>QC Weekly Plan/Report</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Неформален работен документ</w:t>
          </w:r>
          <w:r w:rsidRPr="008035CF">
            <w:rPr>
              <w:rFonts w:ascii="Calibri" w:hAnsi="Calibri" w:cs="Calibri"/>
            </w:rPr>
          </w:r>
          <w:r w:rsidRPr="008035CF">
            <w:rPr>
              <w:rFonts w:ascii="Calibri" w:hAnsi="Calibri" w:cs="Calibri"/>
              <w:lang w:val="mk-MK"/>
            </w:rPr>
          </w:r>
          <w:r w:rsidRPr="008035CF">
            <w:rPr>
              <w:rFonts w:ascii="Calibri" w:eastAsia="Calibri" w:hAnsi="Calibri" w:cs="Calibri"/>
            </w:rPr>
          </w:r>
          <w:r>
            <w:rPr>
              <w:rFonts w:ascii="Calibri" w:eastAsia="Calibri" w:hAnsi="Calibri" w:cs="Calibri"/>
            </w:rPr>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Informal working document</w:t>
          </w:r>
          <w:r>
            <w:rPr>
              <w:rFonts w:ascii="Calibri" w:hAnsi="Calibri" w:cs="Calibri"/>
              <w:sz w:val="18"/>
              <w:szCs w:val="18"/>
            </w:rPr>
          </w:r>
          <w:r>
            <w:rPr>
              <w:rFonts w:ascii="Calibri" w:hAnsi="Calibri" w:cs="Calibri"/>
              <w:b/>
              <w:sz w:val="18"/>
            </w:rP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r>
          <w:r>
            <w:rPr>
              <w:rFonts w:ascii="Calibri" w:hAnsi="Calibri" w:cs="Calibri"/>
              <w:b/>
              <w:sz w:val="18"/>
            </w:rP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r>
          <w:r w:rsidR="00A20230">
            <w:rPr>
              <w:rFonts w:ascii="Calibri" w:hAnsi="Calibri" w:cs="Calibri"/>
            </w:rPr>
          </w:r>
          <w:r w:rsidR="00A20230" w:rsidRPr="00A20230">
            <w:rPr>
              <w:rFonts w:ascii="Calibri" w:hAnsi="Calibri" w:cs="Calibri"/>
              <w:sz w:val="16"/>
              <w:szCs w:val="16"/>
            </w:rPr>
          </w:r>
          <w:r w:rsidRPr="00A20230">
            <w:rPr>
              <w:rFonts w:ascii="Calibri" w:eastAsia="Calibri" w:hAnsi="Calibri" w:cs="Calibri"/>
              <w:sz w:val="16"/>
              <w:szCs w:val="16"/>
            </w:rPr>
          </w:r>
          <w:r w:rsidRPr="008035CF">
            <w:rPr>
              <w:rFonts w:ascii="Calibri" w:eastAsia="Calibri" w:hAnsi="Calibri" w:cs="Calibri"/>
              <w:bCs/>
            </w:rPr>
          </w:r>
          <w:r w:rsidRPr="008035CF">
            <w:rPr>
              <w:rFonts w:ascii="Calibri" w:eastAsia="Calibri" w:hAnsi="Calibri" w:cs="Calibri"/>
              <w:b/>
            </w:rPr>
          </w:r>
          <w:r w:rsidRPr="008035CF">
            <w:rPr>
              <w:rFonts w:ascii="Calibri" w:eastAsia="Calibri" w:hAnsi="Calibri" w:cs="Calibri"/>
              <w:b/>
              <w:bCs/>
            </w:rPr>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