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QASOP_0XX_A06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Регистар на квалификувани транспортни рути и тренд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Qualified Lane Register and Trend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Регистар на рути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Lane register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Рута без статус QUALIFIED и важечки датум не се користи според WHSOP_003. Растојанието и времетраењето се внесуваат од TRA/A01 по мерење, не се проценуваат.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 lane without QUALIFIED status and a valid date is not used under WHSOP_003. Distance and duration are entered from the TRA/A01 after measurement, not estimated.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34"/>
        <w:gridCol w:w="2489"/>
        <w:gridCol w:w="2489"/>
        <w:gridCol w:w="2489"/>
        <w:gridCol w:w="510"/>
        <w:gridCol w:w="1031"/>
        <w:gridCol w:w="1031"/>
        <w:gridCol w:w="1499"/>
        <w:gridCol w:w="733"/>
        <w:gridCol w:w="249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Receipt point</w:t>
            </w:r>
          </w:p>
        </w:tc>
        <w:tc>
          <w:tcPr>
            <w:shd w:val="clear" w:color="auto" w:fill="2B547E"/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Материјал / опсег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 / range</w:t>
            </w:r>
          </w:p>
        </w:tc>
        <w:tc>
          <w:tcPr>
            <w:shd w:val="clear" w:color="auto" w:fill="2B547E"/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Превозник / возило / палети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Carrier / vehicle / pallets L/S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km</w:t>
            </w:r>
          </w:p>
        </w:tc>
        <w:tc>
          <w:tcPr>
            <w:shd w:val="clear" w:color="auto" w:fill="2B547E"/>
            <w:vAlign w:val="center"/>
            <w:tcW w:type="dxa" w:w="10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duration</w:t>
            </w:r>
          </w:p>
        </w:tc>
        <w:tc>
          <w:tcPr>
            <w:shd w:val="clear" w:color="auto" w:fill="2B547E"/>
            <w:vAlign w:val="center"/>
            <w:tcW w:type="dxa" w:w="10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Извештај (A05)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Report (A05)</w:t>
            </w:r>
          </w:p>
        </w:tc>
        <w:tc>
          <w:tcPr>
            <w:shd w:val="clear" w:color="auto" w:fill="2B547E"/>
            <w:vAlign w:val="center"/>
            <w:tcW w:type="dxa" w:w="149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Status</w:t>
            </w:r>
          </w:p>
        </w:tc>
        <w:tc>
          <w:tcPr>
            <w:shd w:val="clear" w:color="auto" w:fill="2B547E"/>
            <w:vAlign w:val="center"/>
            <w:tcW w:type="dxa" w:w="7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Valid until</w:t>
            </w:r>
          </w:p>
        </w:tc>
        <w:tc>
          <w:tcPr>
            <w:shd w:val="clear" w:color="auto" w:fill="2B547E"/>
            <w:vAlign w:val="center"/>
            <w:tcW w:type="dxa" w:w="24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Ограничувања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Limitations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L01</w:t>
            </w:r>
          </w:p>
        </w:tc>
        <w:tc>
          <w:tcPr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[Versa]</w:t>
            </w: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 xml:space="preserve"> · </w:t>
            </w:r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[меѓупроизвод 15–25 °C]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[intermediate 15–25 °C]</w:t>
            </w:r>
          </w:p>
        </w:tc>
        <w:tc>
          <w:tcPr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[Kuehne + Nagel (предв.) / G-палети]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4"/>
              </w:rPr>
              <w:t xml:space="preserve">[Kuehne + Nagel (prov.) / L pallets]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9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[IN QUALIFICATION]</w:t>
            </w:r>
          </w:p>
        </w:tc>
        <w:tc>
          <w:tcPr>
            <w:vAlign w:val="center"/>
            <w:tcW w:type="dxa" w:w="7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[—]</w:t>
            </w:r>
          </w:p>
        </w:tc>
        <w:tc>
          <w:tcPr>
            <w:vAlign w:val="center"/>
            <w:tcW w:type="dxa" w:w="24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[PQ-1 = Т1, PQ-2 = Т2]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[PQ-1 = T1, PQ-2 = T2]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L02</w:t>
            </w:r>
          </w:p>
        </w:tc>
        <w:tc>
          <w:tcPr>
            <w:shd w:val="clear" w:color="auto" w:fill="F7FAFC"/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Царински магацин → локација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Bonded warehouse → site</w:t>
            </w:r>
          </w:p>
        </w:tc>
        <w:tc>
          <w:tcPr>
            <w:shd w:val="clear" w:color="auto" w:fill="F7FAFC"/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клонови / семе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clones / seeds</w:t>
            </w:r>
          </w:p>
        </w:tc>
        <w:tc>
          <w:tcPr>
            <w:shd w:val="clear" w:color="auto" w:fill="F7FAFC"/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9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4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L03</w:t>
            </w:r>
          </w:p>
        </w:tc>
        <w:tc>
          <w:tcPr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Овластено место за уништување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Authorised destruction site</w:t>
            </w:r>
          </w:p>
        </w:tc>
        <w:tc>
          <w:tcPr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отпад (не е критична)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waste (not critical)</w:t>
            </w:r>
          </w:p>
        </w:tc>
        <w:tc>
          <w:tcPr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9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4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9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4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4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9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4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4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4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4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4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Статус: PLANNED / IN QUALIFICATION / QUALIFIED / SUSPENDED / RETIRED.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Status: PLANNED / IN QUALIFICATION / QUALIFIED / SUSPENDED / RETIRED.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Квартален тренд по рута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Quarterly trend per lane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990"/>
        <w:gridCol w:w="1485"/>
        <w:gridCol w:w="1946"/>
        <w:gridCol w:w="984"/>
        <w:gridCol w:w="1114"/>
        <w:gridCol w:w="2109"/>
        <w:gridCol w:w="2248"/>
        <w:gridCol w:w="1175"/>
        <w:gridCol w:w="1299"/>
        <w:gridCol w:w="204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Квартал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Quarter</w:t>
            </w:r>
          </w:p>
        </w:tc>
        <w:tc>
          <w:tcPr>
            <w:shd w:val="clear" w:color="auto" w:fill="2B547E"/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пратки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Shipments</w:t>
            </w:r>
          </w:p>
        </w:tc>
        <w:tc>
          <w:tcPr>
            <w:shd w:val="clear" w:color="auto" w:fill="2B547E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Највисок MKT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Highest MKT (°C)</w:t>
            </w:r>
          </w:p>
        </w:tc>
        <w:tc>
          <w:tcPr>
            <w:shd w:val="clear" w:color="auto" w:fill="2B547E"/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Екскурзии (бр.)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Excursions (No.)</w:t>
            </w:r>
          </w:p>
        </w:tc>
        <w:tc>
          <w:tcPr>
            <w:shd w:val="clear" w:color="auto" w:fill="2B547E"/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Тренд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Trend</w:t>
            </w:r>
          </w:p>
        </w:tc>
        <w:tc>
          <w:tcPr>
            <w:shd w:val="clear" w:color="auto" w:fill="2B547E"/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Reviewed (QA)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Реквалификации и промени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Requalifications and changes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8"/>
        <w:gridCol w:w="1474"/>
        <w:gridCol w:w="3636"/>
        <w:gridCol w:w="3636"/>
        <w:gridCol w:w="1338"/>
        <w:gridCol w:w="1817"/>
        <w:gridCol w:w="233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 (годишна / промена / екскурзија / тренд)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 (annual / change / excursion / trend)</w:t>
            </w:r>
          </w:p>
        </w:tc>
        <w:tc>
          <w:tcPr>
            <w:shd w:val="clear" w:color="auto" w:fill="2B547E"/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Контрола на промени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Change control No.</w:t>
            </w:r>
          </w:p>
        </w:tc>
        <w:tc>
          <w:tcPr>
            <w:shd w:val="clear" w:color="auto" w:fill="2B547E"/>
            <w:vAlign w:val="center"/>
            <w:tcW w:type="dxa" w:w="13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Обем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Scope</w:t>
            </w:r>
          </w:p>
        </w:tc>
        <w:tc>
          <w:tcPr>
            <w:shd w:val="clear" w:color="auto" w:fill="2B547E"/>
            <w:vAlign w:val="center"/>
            <w:tcW w:type="dxa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Извештај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Report</w:t>
            </w:r>
          </w:p>
        </w:tc>
        <w:tc>
          <w:tcPr>
            <w:shd w:val="clear" w:color="auto" w:fill="2B547E"/>
            <w:vAlign w:val="center"/>
            <w:tcW w:type="dxa" w:w="23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 статус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status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3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8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3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Регистар на квалификувани транспортни рути и тренд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Qualified Lane Register and Trend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QASOP_0XX_A06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