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0" w:after="40"/>
        <w:jc w:val="center"/>
      </w:pPr>
      <w:r>
        <w:rPr>
          <w:rFonts w:ascii="Calibri" w:hAnsi="Calibri"/>
          <w:b/>
          <w:i w:val="0"/>
          <w:color w:val="595959"/>
          <w:sz w:val="26"/>
          <w:spacing w:val="0"/>
          <w:kern w:val="0"/>
        </w:rPr>
        <w:t>Неделен план/извештај</w:t>
      </w:r>
      <w:r>
        <w:rPr>
          <w:rFonts w:ascii="Calibri" w:hAnsi="Calibri"/>
          <w:b w:val="0"/>
          <w:i w:val="0"/>
          <w:color w:val="595959"/>
          <w:sz w:val="22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2"/>
          <w:spacing w:val="0"/>
          <w:kern w:val="0"/>
        </w:rPr>
        <w:t>Weekly plan/report</w:t>
      </w:r>
    </w:p>
    <w:p>
      <w:pPr>
        <w:spacing w:before="200" w:after="40"/>
        <w:jc w:val="center"/>
      </w:pPr>
      <w:r>
        <w:rPr>
          <w:rFonts w:ascii="Calibri" w:hAnsi="Calibri"/>
          <w:b/>
          <w:i w:val="0"/>
          <w:color w:val="2B547E"/>
          <w:sz w:val="44"/>
          <w:spacing w:val="0"/>
          <w:kern w:val="0"/>
        </w:rPr>
        <w:t>Неделен план/извештај на Контрола на квалитет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2B547E"/>
          <w:sz w:val="26"/>
          <w:spacing w:val="0"/>
          <w:kern w:val="0"/>
        </w:rPr>
        <w:t>QC Weekly Plan/Report</w:t>
      </w:r>
    </w:p>
    <w:p>
      <w:pPr>
        <w:spacing w:before="80" w:after="320"/>
        <w:jc w:val="center"/>
      </w:pPr>
      <w:r>
        <w:rPr>
          <w:rFonts w:ascii="Calibri" w:hAnsi="Calibri"/>
          <w:b/>
          <w:i w:val="0"/>
          <w:color w:val="595959"/>
          <w:sz w:val="24"/>
          <w:spacing w:val="0"/>
          <w:kern w:val="0"/>
        </w:rPr>
        <w:t>QC</w:t>
      </w:r>
      <w:r>
        <w:rPr>
          <w:rFonts w:ascii="Calibri" w:hAnsi="Calibri"/>
          <w:b w:val="0"/>
          <w:i w:val="0"/>
          <w:color w:val="595959"/>
          <w:sz w:val="20"/>
          <w:spacing w:val="0"/>
          <w:kern w:val="0"/>
        </w:rPr>
        <w:t xml:space="preserve">  |  </w:t>
      </w:r>
      <w:r>
        <w:rPr>
          <w:rFonts w:ascii="Calibri" w:hAnsi="Calibri"/>
          <w:b w:val="0"/>
          <w:i/>
          <w:color w:val="595959"/>
          <w:sz w:val="20"/>
          <w:spacing w:val="0"/>
          <w:kern w:val="0"/>
        </w:rPr>
        <w:t>Quality Control</w:t>
      </w:r>
    </w:p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  <w:spacing w:val="0"/>
          <w:kern w:val="0"/>
        </w:rPr>
        <w:t>Информации за документот | Document information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75"/>
        <w:gridCol w:w="7291"/>
      </w:tblGrid>
      <w:tr>
        <w:trPr>
          <w:tblHeader w:val="true"/>
        </w:trP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Издание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Issue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01 (прво издание на неделниот циклус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first issue of the weekly cycle)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Извештајна недела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Report week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Пон 10.08 – Пет 14.08.2026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Планска недела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Plan week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Пон 17.08 – Пет 21.08.2026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Статус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Status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Информативен менаџмент-документ; авторитативните записи остануваат во КМС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Informational management submission; authoritative records remain in the QMS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Опфат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Scope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КК: тестирање, инспекции, мониторинг, ослободувачки резултати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QC: testing, inspection, monitoring, release-testing data (QA disposition excluded)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Извори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Sources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Верификувани артефакти на КК (letta-stack) + 4 временски записи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Verified QC artifacts + 4 work-time records</w:t>
            </w:r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  <w:spacing w:val="0"/>
          <w:kern w:val="0"/>
        </w:rPr>
        <w:t>Одобрување | Approval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095"/>
        <w:gridCol w:w="1984"/>
        <w:gridCol w:w="255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Signature</w:t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Изготвил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Prepared (QC Head)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Прегледал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Reviewed (QA)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J. Romevska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Одобрил (Раководител КК)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Approved (QC Manager)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</w:tbl>
    <w:p>
      <w:pPr>
        <w:spacing w:before="200" w:after="0"/>
        <w:jc w:val="center"/>
      </w:pPr>
      <w:r>
        <w:rPr>
          <w:rFonts w:ascii="Calibri" w:hAnsi="Calibri"/>
          <w:b w:val="0"/>
          <w:i/>
          <w:color w:val="595959"/>
          <w:sz w:val="16"/>
          <w:spacing w:val="0"/>
          <w:kern w:val="0"/>
        </w:rPr>
        <w:t>Контролиран документ | Controlled document</w:t>
      </w:r>
    </w:p>
    <w:p>
      <w:r>
        <w:rPr>
          <w:spacing w:val="0"/>
          <w:kern w:val="0"/>
        </w:rPr>
        <w:br w:type="page"/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1.  ПРАШАЊА ШТО БАРААТ ВНИМАНИЕ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Issues Requiring Attention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8"/>
          <w:spacing w:val="0"/>
          <w:kern w:val="0"/>
        </w:rPr>
        <w:t>Секое прашање подолу влијае на капацитетот за ослободување или на ГМП-подготвеноста (правило на сопственикот). Датумите на решавање ги диктира Раководителот на КК. | Each issue below affects release capacity or GMP readiness (owner's highlight rule). Resolution dates to be dictated by the QC Manager.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c>
          <w:tcPr>
            <w:tcW w:type="dxa" w:w="62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№</w:t>
            </w:r>
          </w:p>
        </w:tc>
        <w:tc>
          <w:tcPr>
            <w:tcW w:type="dxa" w:w="7483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Прашање | Issue</w:t>
            </w:r>
          </w:p>
        </w:tc>
        <w:tc>
          <w:tcPr>
            <w:tcW w:type="dxa" w:w="187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Рок | Resolution</w:t>
            </w:r>
          </w:p>
        </w:tc>
      </w:tr>
      <w:tr>
        <w:tc>
          <w:tcPr>
            <w:tcW w:type="dxa" w:w="624"/>
            <w:vAlign w:val="center"/>
            <w:shd w:val="clear" w:color="auto" w:fill="FDECEA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И-1</w:t>
            </w:r>
          </w:p>
        </w:tc>
        <w:tc>
          <w:tcPr>
            <w:tcW w:type="dxa" w:w="7483"/>
            <w:vAlign w:val="center"/>
            <w:shd w:val="clear" w:color="auto" w:fill="FDECEA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OOS — FB032601, Странични материи | Foreign Matter (CNP, ППК26127-серија): 0,08% Не одговара — семка; истрага по QCSOP 019 | 0.08% NON-CONFORM — seed present; investigation per QCSOP 019</w:t>
            </w:r>
          </w:p>
        </w:tc>
        <w:tc>
          <w:tcPr>
            <w:tcW w:type="dxa" w:w="1871"/>
            <w:vAlign w:val="center"/>
            <w:shd w:val="clear" w:color="auto" w:fill="FDECEA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датум: во очекување | date: pending</w:t>
            </w:r>
          </w:p>
        </w:tc>
      </w:tr>
      <w:tr>
        <w:tc>
          <w:tcPr>
            <w:tcW w:type="dxa" w:w="624"/>
            <w:vAlign w:val="center"/>
            <w:shd w:val="clear" w:color="auto" w:fill="FDECEA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И-2</w:t>
            </w:r>
          </w:p>
        </w:tc>
        <w:tc>
          <w:tcPr>
            <w:tcW w:type="dxa" w:w="7483"/>
            <w:vAlign w:val="center"/>
            <w:shd w:val="clear" w:color="auto" w:fill="FDECEA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Неархивирани сертификати (микро/метали/пестициди) за 7 серии | Unfiled micro/metals/pesticide certificates for 7 batches — FB012601/1, GRC102501/2, JD012603/2, JD012603/2V, KC102501, PM112501, SCR112501; редот за ослободување блокиран | release queue blocked</w:t>
            </w:r>
          </w:p>
        </w:tc>
        <w:tc>
          <w:tcPr>
            <w:tcW w:type="dxa" w:w="1871"/>
            <w:vAlign w:val="center"/>
            <w:shd w:val="clear" w:color="auto" w:fill="FDECEA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датум: во очекување | date: pending</w:t>
            </w:r>
          </w:p>
        </w:tc>
      </w:tr>
      <w:tr>
        <w:tc>
          <w:tcPr>
            <w:tcW w:type="dxa" w:w="624"/>
            <w:vAlign w:val="center"/>
            <w:shd w:val="clear" w:color="auto" w:fill="FDECEA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И-3</w:t>
            </w:r>
          </w:p>
        </w:tc>
        <w:tc>
          <w:tcPr>
            <w:tcW w:type="dxa" w:w="7483"/>
            <w:vAlign w:val="center"/>
            <w:shd w:val="clear" w:color="auto" w:fill="FDECEA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 серии без ниту еден eCoA во базата | 9 batches with no eCoA on file: ACC102501, BSS1024_01/1, CC012603, CF102501, GRC102501/1, JD012603/01, PUM102501, SCR012601, WED102501</w:t>
            </w:r>
          </w:p>
        </w:tc>
        <w:tc>
          <w:tcPr>
            <w:tcW w:type="dxa" w:w="1871"/>
            <w:vAlign w:val="center"/>
            <w:shd w:val="clear" w:color="auto" w:fill="FDECEA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датум: во очекување | date: pending</w:t>
            </w:r>
          </w:p>
        </w:tc>
      </w:tr>
      <w:tr>
        <w:tc>
          <w:tcPr>
            <w:tcW w:type="dxa" w:w="624"/>
            <w:vAlign w:val="center"/>
            <w:shd w:val="clear" w:color="auto" w:fill="FDECEA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И-4</w:t>
            </w:r>
          </w:p>
        </w:tc>
        <w:tc>
          <w:tcPr>
            <w:tcW w:type="dxa" w:w="7483"/>
            <w:vAlign w:val="center"/>
            <w:shd w:val="clear" w:color="auto" w:fill="FDECEA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Фенотип-податоци недостасуваат за 6 сорти + конфликт за Gorilla Glue (извор на семе) | Phenotype data missing for 6 strains + GG seed-source conflict — ги блокира QCSP спецификациите</w:t>
            </w:r>
          </w:p>
        </w:tc>
        <w:tc>
          <w:tcPr>
            <w:tcW w:type="dxa" w:w="1871"/>
            <w:vAlign w:val="center"/>
            <w:shd w:val="clear" w:color="auto" w:fill="FDECEA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датум: во очекување | date: pending</w:t>
            </w:r>
          </w:p>
        </w:tc>
      </w:tr>
      <w:tr>
        <w:tc>
          <w:tcPr>
            <w:tcW w:type="dxa" w:w="624"/>
            <w:vAlign w:val="center"/>
            <w:shd w:val="clear" w:color="auto" w:fill="FDECEA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И-5</w:t>
            </w:r>
          </w:p>
        </w:tc>
        <w:tc>
          <w:tcPr>
            <w:tcW w:type="dxa" w:w="7483"/>
            <w:vAlign w:val="center"/>
            <w:shd w:val="clear" w:color="auto" w:fill="FDECEA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127 iCoA + 95 CoQ чекаат формално издавање од Регистарот (QCLB 020) | 127 iCoAs + 95 CoQs pending formal issuance from the Certificate Issuance Register</w:t>
            </w:r>
          </w:p>
        </w:tc>
        <w:tc>
          <w:tcPr>
            <w:tcW w:type="dxa" w:w="1871"/>
            <w:vAlign w:val="center"/>
            <w:shd w:val="clear" w:color="auto" w:fill="FDECEA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датум: во очекување | date: pending</w:t>
            </w:r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2.  ИЗВЕШТАЈ — НЕДЕЛА 10–14.08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Report — Week Ended 14.08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2.1  E1 · Визуелни инспекции</w:t>
      </w:r>
      <w:r>
        <w:rPr>
          <w:rFonts w:ascii="Calibri" w:hAnsi="Calibri"/>
          <w:b w:val="0"/>
          <w:i w:val="0"/>
          <w:color w:val="595959"/>
          <w:sz w:val="28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  <w:spacing w:val="0"/>
          <w:kern w:val="0"/>
        </w:rPr>
        <w:t>Visual Inspections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464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Ставка | Item</w:t>
            </w:r>
          </w:p>
        </w:tc>
        <w:tc>
          <w:tcPr>
            <w:tcW w:type="dxa" w:w="532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Вредност | Value</w:t>
            </w:r>
          </w:p>
        </w:tc>
      </w:tr>
      <w:tr>
        <w:tc>
          <w:tcPr>
            <w:tcW w:type="dxa" w:w="464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Документирани домашни определувања (по СОП, пред финално земање мостри / по него) | In-house determinations documented (per SOP)</w:t>
            </w:r>
          </w:p>
        </w:tc>
        <w:tc>
          <w:tcPr>
            <w:tcW w:type="dxa" w:w="532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Странични материи | FM: 50 серии | batches · Макро/микро ID: 77 серии | batches</w:t>
            </w:r>
          </w:p>
        </w:tc>
      </w:tr>
      <w:tr>
        <w:tc>
          <w:tcPr>
            <w:tcW w:type="dxa" w:w="464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Предложени iCoA за нив | iCoAs proposed</w:t>
            </w:r>
          </w:p>
        </w:tc>
        <w:tc>
          <w:tcPr>
            <w:tcW w:type="dxa" w:w="532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127 (листа: 'iCoA issuance list')</w:t>
            </w:r>
          </w:p>
        </w:tc>
      </w:tr>
      <w:tr>
        <w:tc>
          <w:tcPr>
            <w:tcW w:type="dxa" w:w="464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Инспекции извршени оваа недела над тоа | Further inspections this week</w:t>
            </w:r>
          </w:p>
        </w:tc>
        <w:tc>
          <w:tcPr>
            <w:tcW w:type="dxa" w:w="532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нема податоци во изворите | no data in consolidated sources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2.2  E2 · Лабораториско тестирање</w:t>
      </w:r>
      <w:r>
        <w:rPr>
          <w:rFonts w:ascii="Calibri" w:hAnsi="Calibri"/>
          <w:b w:val="0"/>
          <w:i w:val="0"/>
          <w:color w:val="595959"/>
          <w:sz w:val="28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  <w:spacing w:val="0"/>
          <w:kern w:val="0"/>
        </w:rPr>
        <w:t>Laboratory Testing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464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Ставка | Item</w:t>
            </w:r>
          </w:p>
        </w:tc>
        <w:tc>
          <w:tcPr>
            <w:tcW w:type="dxa" w:w="532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Вредност | Value</w:t>
            </w:r>
          </w:p>
        </w:tc>
      </w:tr>
      <w:tr>
        <w:tc>
          <w:tcPr>
            <w:tcW w:type="dxa" w:w="464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Ретест кампања (Farmahem) обработена и верификувана | Retest campaign processed &amp; live-verified</w:t>
            </w:r>
          </w:p>
        </w:tc>
        <w:tc>
          <w:tcPr>
            <w:tcW w:type="dxa" w:w="532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42 eCoA (21 потенца | potency К-серија + 21 микотоксини | mycotoxins М-серија), 07–10.08.2026</w:t>
            </w:r>
          </w:p>
        </w:tc>
      </w:tr>
      <w:tr>
        <w:tc>
          <w:tcPr>
            <w:tcW w:type="dxa" w:w="464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Потенца опсег | Potency range</w:t>
            </w:r>
          </w:p>
        </w:tc>
        <w:tc>
          <w:tcPr>
            <w:tcW w:type="dxa" w:w="532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 – 26.14 %w/w (0 OOS во кампањата | in campaign)</w:t>
            </w:r>
          </w:p>
        </w:tc>
      </w:tr>
      <w:tr>
        <w:tc>
          <w:tcPr>
            <w:tcW w:type="dxa" w:w="464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Вкупно резултати во базата, верификувани | Total results on file, verified</w:t>
            </w:r>
          </w:p>
        </w:tc>
        <w:tc>
          <w:tcPr>
            <w:tcW w:type="dxa" w:w="532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1038 (77 серии; 4-слојна проверка + жива верификација на хостот)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2.3  E3 · Мониторинг на средината</w:t>
      </w:r>
      <w:r>
        <w:rPr>
          <w:rFonts w:ascii="Calibri" w:hAnsi="Calibri"/>
          <w:b w:val="0"/>
          <w:i w:val="0"/>
          <w:color w:val="595959"/>
          <w:sz w:val="28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  <w:spacing w:val="0"/>
          <w:kern w:val="0"/>
        </w:rPr>
        <w:t>Environmental Monitoring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464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Ставка | Item</w:t>
            </w:r>
          </w:p>
        </w:tc>
        <w:tc>
          <w:tcPr>
            <w:tcW w:type="dxa" w:w="532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Вредност | Value</w:t>
            </w:r>
          </w:p>
        </w:tc>
      </w:tr>
      <w:tr>
        <w:tc>
          <w:tcPr>
            <w:tcW w:type="dxa" w:w="464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Кругови на мониторинг | Monitoring rounds</w:t>
            </w:r>
          </w:p>
        </w:tc>
        <w:tc>
          <w:tcPr>
            <w:tcW w:type="dxa" w:w="532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нема податоци во изворите — да се внесе | no data in sources — to be entered by QC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2.4  B4 · Производ што чека ослободување (ред на КК)</w:t>
      </w:r>
      <w:r>
        <w:rPr>
          <w:rFonts w:ascii="Calibri" w:hAnsi="Calibri"/>
          <w:b w:val="0"/>
          <w:i w:val="0"/>
          <w:color w:val="595959"/>
          <w:sz w:val="28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  <w:spacing w:val="0"/>
          <w:kern w:val="0"/>
        </w:rPr>
        <w:t>Product Awaiting QC Release (queue)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Категорија | Category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4876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Забелешка | Note</w:t>
            </w:r>
          </w:p>
        </w:tc>
      </w:tr>
      <w:tr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Делумен панел (недостасуваат ставки) | Partial panel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74</w:t>
            </w:r>
          </w:p>
        </w:tc>
        <w:tc>
          <w:tcPr>
            <w:tcW w:type="dxa" w:w="4876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најчесто недостасуваат HPTLC ID, CBN, AflaB1, OTA | most-missing: HPTLC ID, CBN, AflaB1, OTA</w:t>
            </w:r>
          </w:p>
        </w:tc>
      </w:tr>
      <w:tr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Без ниту еден eCoA | No eCoA at all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</w:t>
            </w:r>
          </w:p>
        </w:tc>
        <w:tc>
          <w:tcPr>
            <w:tcW w:type="dxa" w:w="4876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види И-3 | see Issue И-3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Разгранување | Drill-down: PP_Spec_Parameter_Matrix.xlsx — по серија, по параметар, со линкови до скенираните eCoA. | per batch, per parameter, hyperlinked to the certificate scans.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2.5  B5 · Производ со комплетни КК-резултати</w:t>
      </w:r>
      <w:r>
        <w:rPr>
          <w:rFonts w:ascii="Calibri" w:hAnsi="Calibri"/>
          <w:b w:val="0"/>
          <w:i w:val="0"/>
          <w:color w:val="595959"/>
          <w:sz w:val="28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  <w:spacing w:val="0"/>
          <w:kern w:val="0"/>
        </w:rPr>
        <w:t>Product QC-Cleared (results complete)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464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Ставка | Item</w:t>
            </w:r>
          </w:p>
        </w:tc>
        <w:tc>
          <w:tcPr>
            <w:tcW w:type="dxa" w:w="532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Вредност | Value</w:t>
            </w:r>
          </w:p>
        </w:tc>
      </w:tr>
      <w:tr>
        <w:tc>
          <w:tcPr>
            <w:tcW w:type="dxa" w:w="464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Серии со полн 21-ставков панел (вкл. декларирани) | Batches with full 21-item panel (incl. declared)</w:t>
            </w:r>
          </w:p>
        </w:tc>
        <w:tc>
          <w:tcPr>
            <w:tcW w:type="dxa" w:w="532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CJ062501/2, CJ082501/2, PM092501  (3)</w:t>
            </w:r>
          </w:p>
        </w:tc>
      </w:tr>
      <w:tr>
        <w:tc>
          <w:tcPr>
            <w:tcW w:type="dxa" w:w="464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Напомена | Note</w:t>
            </w:r>
          </w:p>
        </w:tc>
        <w:tc>
          <w:tcPr>
            <w:tcW w:type="dxa" w:w="532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статусот е покриеност со резултати, НЕ диспозиција — диспозицијата е на QA | coverage status, NOT a disposition — disposition is QA's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2.6  E4 · OOS / лабораториски отстапувања</w:t>
      </w:r>
      <w:r>
        <w:rPr>
          <w:rFonts w:ascii="Calibri" w:hAnsi="Calibri"/>
          <w:b w:val="0"/>
          <w:i w:val="0"/>
          <w:color w:val="595959"/>
          <w:sz w:val="28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  <w:spacing w:val="0"/>
          <w:kern w:val="0"/>
        </w:rPr>
        <w:t>OOS / Lab Deviations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c>
          <w:tcPr>
            <w:tcW w:type="dxa" w:w="181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Серија | Batch</w:t>
            </w:r>
          </w:p>
        </w:tc>
        <w:tc>
          <w:tcPr>
            <w:tcW w:type="dxa" w:w="260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Параметар | Parameter</w:t>
            </w:r>
          </w:p>
        </w:tc>
        <w:tc>
          <w:tcPr>
            <w:tcW w:type="dxa" w:w="5556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Наод | Finding</w:t>
            </w:r>
          </w:p>
        </w:tc>
      </w:tr>
      <w:tr>
        <w:tc>
          <w:tcPr>
            <w:tcW w:type="dxa" w:w="1814"/>
            <w:vAlign w:val="center"/>
            <w:shd w:val="clear" w:color="auto" w:fill="FDECEA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FB032601</w:t>
            </w:r>
          </w:p>
        </w:tc>
        <w:tc>
          <w:tcPr>
            <w:tcW w:type="dxa" w:w="2608"/>
            <w:vAlign w:val="center"/>
            <w:shd w:val="clear" w:color="auto" w:fill="FDECEA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Foreign Matter (item 7)</w:t>
            </w:r>
          </w:p>
        </w:tc>
        <w:tc>
          <w:tcPr>
            <w:tcW w:type="dxa" w:w="5556"/>
            <w:vAlign w:val="center"/>
            <w:shd w:val="clear" w:color="auto" w:fill="FDECEA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0.08% — Не одговара / NON-CONFORM (cannabis seed present); data-integrity flag in source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2.7  E6 · Валидациски активности (дел на КК)</w:t>
      </w:r>
      <w:r>
        <w:rPr>
          <w:rFonts w:ascii="Calibri" w:hAnsi="Calibri"/>
          <w:b w:val="0"/>
          <w:i w:val="0"/>
          <w:color w:val="595959"/>
          <w:sz w:val="28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  <w:spacing w:val="0"/>
          <w:kern w:val="0"/>
        </w:rPr>
        <w:t>Validation Activities (QC part)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464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Ставка | Item</w:t>
            </w:r>
          </w:p>
        </w:tc>
        <w:tc>
          <w:tcPr>
            <w:tcW w:type="dxa" w:w="532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Вредност | Value</w:t>
            </w:r>
          </w:p>
        </w:tc>
      </w:tr>
      <w:tr>
        <w:tc>
          <w:tcPr>
            <w:tcW w:type="dxa" w:w="464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Извршени оваа недела | Executed this week</w:t>
            </w:r>
          </w:p>
        </w:tc>
        <w:tc>
          <w:tcPr>
            <w:tcW w:type="dxa" w:w="532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нема | none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2.8  C4 · Тестирање за ослободување простории</w:t>
      </w:r>
      <w:r>
        <w:rPr>
          <w:rFonts w:ascii="Calibri" w:hAnsi="Calibri"/>
          <w:b w:val="0"/>
          <w:i w:val="0"/>
          <w:color w:val="595959"/>
          <w:sz w:val="28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  <w:spacing w:val="0"/>
          <w:kern w:val="0"/>
        </w:rPr>
        <w:t>Room Release Testing (transition)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464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Ставка | Item</w:t>
            </w:r>
          </w:p>
        </w:tc>
        <w:tc>
          <w:tcPr>
            <w:tcW w:type="dxa" w:w="532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Вредност | Value</w:t>
            </w:r>
          </w:p>
        </w:tc>
      </w:tr>
      <w:tr>
        <w:tc>
          <w:tcPr>
            <w:tcW w:type="dxa" w:w="464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Статус по простории | Per-room status</w:t>
            </w:r>
          </w:p>
        </w:tc>
        <w:tc>
          <w:tcPr>
            <w:tcW w:type="dxa" w:w="532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нема податоци во изворите — да се внесе | no data in sources — to be entered by QC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2.9  E7 · Придонес кон ГМП-подготвеност</w:t>
      </w:r>
      <w:r>
        <w:rPr>
          <w:rFonts w:ascii="Calibri" w:hAnsi="Calibri"/>
          <w:b w:val="0"/>
          <w:i w:val="0"/>
          <w:color w:val="595959"/>
          <w:sz w:val="28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  <w:spacing w:val="0"/>
          <w:kern w:val="0"/>
        </w:rPr>
        <w:t>GMP-Readiness Contribution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3742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Систем | System</w:t>
            </w:r>
          </w:p>
        </w:tc>
        <w:tc>
          <w:tcPr>
            <w:tcW w:type="dxa" w:w="6236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Статус | Status</w:t>
            </w:r>
          </w:p>
        </w:tc>
      </w:tr>
      <w:tr>
        <w:tc>
          <w:tcPr>
            <w:tcW w:type="dxa" w:w="3742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eCoA register + specification matrix</w:t>
            </w:r>
          </w:p>
        </w:tc>
        <w:tc>
          <w:tcPr>
            <w:tcW w:type="dxa" w:w="6236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1 038 verified results · 77 batches · 4-layer fact-check + live-host verification</w:t>
            </w:r>
          </w:p>
        </w:tc>
      </w:tr>
      <w:tr>
        <w:tc>
          <w:tcPr>
            <w:tcW w:type="dxa" w:w="3742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CoQ issuance plan</w:t>
            </w:r>
          </w:p>
        </w:tc>
        <w:tc>
          <w:tcPr>
            <w:tcW w:type="dxa" w:w="6236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95 events (77 initial + 18 superseding), results-complete chronology, QCSOP 012 §6.7</w:t>
            </w:r>
          </w:p>
        </w:tc>
      </w:tr>
      <w:tr>
        <w:tc>
          <w:tcPr>
            <w:tcW w:type="dxa" w:w="3742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iCoA issuance list</w:t>
            </w:r>
          </w:p>
        </w:tc>
        <w:tc>
          <w:tcPr>
            <w:tcW w:type="dxa" w:w="6236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127 proposed codes (50 FM + 77 macro/micro ID), one sequential series</w:t>
            </w:r>
          </w:p>
        </w:tc>
      </w:tr>
      <w:tr>
        <w:tc>
          <w:tcPr>
            <w:tcW w:type="dxa" w:w="3742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ImB Product Specification catalogue</w:t>
            </w:r>
          </w:p>
        </w:tc>
        <w:tc>
          <w:tcPr>
            <w:tcW w:type="dxa" w:w="6236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351 A4 PDF renders (BASE 125 · NEWs 48 · RENs 84 · T1/T2/T3+T1_rename 82 · root 12)</w:t>
            </w:r>
          </w:p>
        </w:tc>
      </w:tr>
      <w:tr>
        <w:tc>
          <w:tcPr>
            <w:tcW w:type="dxa" w:w="3742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Letta host live audit</w:t>
            </w:r>
          </w:p>
        </w:tc>
        <w:tc>
          <w:tcPr>
            <w:tcW w:type="dxa" w:w="6236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 findings incl. auth gap + sandbox exposure; read-only, fixes pending owner</w:t>
            </w:r>
          </w:p>
        </w:tc>
      </w:tr>
      <w:tr>
        <w:tc>
          <w:tcPr>
            <w:tcW w:type="dxa" w:w="3742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Phenotype/Chemotype evidence table</w:t>
            </w:r>
          </w:p>
        </w:tc>
        <w:tc>
          <w:tcPr>
            <w:tcW w:type="dxa" w:w="6236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 strains full, 3 chemo-only, 6 uncovered, 1 conflict (GG)</w:t>
            </w:r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3.  ПЛАН — НЕДЕЛА 17–21.08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Plan — Week Ahead 21.08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c>
          <w:tcPr>
            <w:tcW w:type="dxa" w:w="56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№</w:t>
            </w:r>
          </w:p>
        </w:tc>
        <w:tc>
          <w:tcPr>
            <w:tcW w:type="dxa" w:w="7483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Активност | Action</w:t>
            </w:r>
          </w:p>
        </w:tc>
        <w:tc>
          <w:tcPr>
            <w:tcW w:type="dxa" w:w="19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Цел | Target</w:t>
            </w:r>
          </w:p>
        </w:tc>
      </w:tr>
      <w:tr>
        <w:tc>
          <w:tcPr>
            <w:tcW w:type="dxa" w:w="567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7483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Формално издавање на 127 iCoA и 95 CoQ по редоследот од плановите за издавање | Formal issuance of 127 iCoAs and 95 CoQs per the issuance plans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датум: во очекување | date: pending</w:t>
            </w:r>
          </w:p>
        </w:tc>
      </w:tr>
      <w:tr>
        <w:tc>
          <w:tcPr>
            <w:tcW w:type="dxa" w:w="567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7483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Лоцирање, скенирање и внесување на сертификатите за 7-те серии (И-2) | Locate, scan and ingest the 7 batches' certificates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датум: во очекување | date: pending</w:t>
            </w:r>
          </w:p>
        </w:tc>
      </w:tr>
      <w:tr>
        <w:tc>
          <w:tcPr>
            <w:tcW w:type="dxa" w:w="567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</w:t>
            </w:r>
          </w:p>
        </w:tc>
        <w:tc>
          <w:tcPr>
            <w:tcW w:type="dxa" w:w="7483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Решавање на 9-те серии без eCoA (И-3) — потврда дали постои документација | Resolve the 9 no-eCoA batches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датум: во очекување | date: pending</w:t>
            </w:r>
          </w:p>
        </w:tc>
      </w:tr>
      <w:tr>
        <w:tc>
          <w:tcPr>
            <w:tcW w:type="dxa" w:w="567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</w:t>
            </w:r>
          </w:p>
        </w:tc>
        <w:tc>
          <w:tcPr>
            <w:tcW w:type="dxa" w:w="7483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Комплетирање Фенотип/Хемотип на QCSP спецификациите (одлука за GG, мапирања Kandy Kush/RS11, 4 datasheet-а) | Complete Phenotype/Chemotype fields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датум: во очекување | date: pending</w:t>
            </w:r>
          </w:p>
        </w:tc>
      </w:tr>
      <w:tr>
        <w:tc>
          <w:tcPr>
            <w:tcW w:type="dxa" w:w="567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5</w:t>
            </w:r>
          </w:p>
        </w:tc>
        <w:tc>
          <w:tcPr>
            <w:tcW w:type="dxa" w:w="7483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Транша 3 работна книга + внесување на слојот преименувања (01_Portfolio_Master) | Tranche 3 workbook + rename-layer ingestion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датум: во очекување | date: pending</w:t>
            </w:r>
          </w:p>
        </w:tc>
      </w:tr>
      <w:tr>
        <w:tc>
          <w:tcPr>
            <w:tcW w:type="dxa" w:w="567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</w:t>
            </w:r>
          </w:p>
        </w:tc>
        <w:tc>
          <w:tcPr>
            <w:tcW w:type="dxa" w:w="7483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Распоред за земање мостри / мониторинг / чистење простории — да го внесе КК | Sampling / monitoring / room-clearance schedule — to be entered by QC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4.  АНЕКС — КОНСОЛИДИРАНА ВРЕМЕНСКА ЛЕНТА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Annex — Consolidated Work-Time Band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8"/>
          <w:spacing w:val="0"/>
          <w:kern w:val="0"/>
        </w:rPr>
        <w:t>Четири паралелни работни сесии на еден линијар по часови (Скопје). Методологиите се различни и НЕ се собираат меѓусебно: полно = докажано (транскрипт/алатки/git); шрафирано = распон или проценка. | Four parallel sessions on one hour ruler (Skopje). Methodologies differ and are NOT summable: solid = evidenced (transcript/tool/git); hatched = span or estimate.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5580000" cy="2665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olidated_rul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65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Calibri" w:hAnsi="Calibri"/>
          <w:b/>
          <w:i w:val="0"/>
          <w:color w:val="2B547E"/>
          <w:sz w:val="18"/>
          <w:spacing w:val="0"/>
          <w:kern w:val="0"/>
        </w:rPr>
        <w:t xml:space="preserve">Слика | Figure — </w:t>
      </w:r>
      <w:r>
        <w:rPr>
          <w:rFonts w:ascii="Calibri" w:hAnsi="Calibri"/>
          <w:b w:val="0"/>
          <w:i/>
          <w:color w:val="595959"/>
          <w:sz w:val="18"/>
          <w:spacing w:val="0"/>
          <w:kern w:val="0"/>
        </w:rPr>
        <w:t>Консолидирана лента: четири сесии, Вт 16:00 → Пет 08:00</w:t>
      </w:r>
      <w:r>
        <w:rPr>
          <w:rFonts w:ascii="Calibri" w:hAnsi="Calibri"/>
          <w:b w:val="0"/>
          <w:i w:val="0"/>
          <w:color w:val="595959"/>
          <w:sz w:val="16"/>
          <w:spacing w:val="0"/>
          <w:kern w:val="0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  <w:spacing w:val="0"/>
          <w:kern w:val="0"/>
        </w:rPr>
        <w:t>Consolidated band: four sessions, Tue 16:00 → Fri 08:00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Извор | Source</w:t>
            </w:r>
          </w:p>
        </w:tc>
        <w:tc>
          <w:tcPr>
            <w:tcW w:type="dxa" w:w="396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Мерка | Measure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Часови | Hours</w:t>
            </w:r>
          </w:p>
        </w:tc>
      </w:tr>
      <w:tr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QC data session (this chat)</w:t>
            </w:r>
          </w:p>
        </w:tc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transcript-witnessed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4.9</w:t>
            </w:r>
          </w:p>
        </w:tc>
      </w:tr>
      <w:tr>
        <w:tc>
          <w:tcPr>
            <w:tcW w:type="dxa" w:w="430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Letta ops session — witnessed</w:t>
            </w:r>
          </w:p>
        </w:tc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tool/file timestamps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5.3</w:t>
            </w:r>
          </w:p>
        </w:tc>
      </w:tr>
      <w:tr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Letta ops session — checkpoint spans</w:t>
            </w:r>
          </w:p>
        </w:tc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PR open→merge (not hands-on)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52.8</w:t>
            </w:r>
          </w:p>
        </w:tc>
      </w:tr>
      <w:tr>
        <w:tc>
          <w:tcPr>
            <w:tcW w:type="dxa" w:w="430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WWF platform session</w:t>
            </w:r>
          </w:p>
        </w:tc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git commits + deploys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2.2</w:t>
            </w:r>
          </w:p>
        </w:tc>
      </w:tr>
      <w:tr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ImB spec design session</w:t>
            </w:r>
          </w:p>
        </w:tc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estimated from session activity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35.0</w:t>
            </w:r>
          </w:p>
        </w:tc>
      </w:tr>
    </w:tbl>
    <w:p>
      <w:pPr>
        <w:spacing w:before="80" w:after="40" w:line="254" w:lineRule="auto"/>
        <w:jc w:val="left"/>
      </w:pPr>
      <w:r>
        <w:rPr>
          <w:rFonts w:ascii="Calibri" w:hAnsi="Calibri"/>
          <w:b w:val="0"/>
          <w:i/>
          <w:color w:val="6B7785"/>
          <w:sz w:val="15"/>
          <w:spacing w:val="0"/>
          <w:kern w:val="0"/>
        </w:rPr>
        <w:t>Потекло | Provenance: (1) QC_Activity_Timeline_11-14Aug2026.docx — транскрипт sha256 9c35bfad…; (2) PP-OPS-TIME-2026-08-14 (Drive 1gByKejrs…) — dataset sha256 549e1e2b…; (3) WWF-TIMELINE-2026-0814 (Drive 1-tGe57q…) — git+deploy евиденција; (4) Work Time Overview 11-14 Aug (Drive 1VB9m90H…) — проценки од сесиска активност. Ниту една изворна бројка не е менувана при консолидацијата. | No source figure was altered in consolidation.</w:t>
      </w:r>
    </w:p>
    <w:sectPr w:rsidR="00433AE1" w:rsidRPr="00E10D5A" w:rsidSect="00522430">
      <w:headerReference w:type="first" r:id="rId7"/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 xml:space="preserve">НЕДЕЛЕН ПЛАН/ИЗВЕШТАЈ — 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PP-QC-WK</w:t>
          </w:r>
          <w:r>
            <w:rPr>
              <w:rFonts w:ascii="Arial Narrow" w:hAnsi="Arial Narrow" w:cs="Arial Narrow"/>
              <w:sz w:val="24"/>
              <w:szCs w:val="24"/>
            </w:rPr>
            <w:t xml:space="preserve"> | </w:t>
          </w:r>
          <w:r w:rsidR="002325F2">
            <w:rPr>
              <w:rFonts w:ascii="Arial Narrow" w:hAnsi="Arial Narrow" w:cs="Arial Narrow"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</w:rPr>
            <w:t xml:space="preserve">Weekly Plan/Report — 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22"/>
              <w:szCs w:val="24"/>
            </w:rPr>
            <w:t>PP-QC-WK-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  <w:t>001/202</w:t>
          </w:r>
          <w:r w:rsidRPr="00A20230">
            <w:rPr>
              <w:rFonts w:ascii="Calibri" w:hAnsi="Calibri" w:cs="Calibri"/>
              <w:b/>
              <w:szCs w:val="22"/>
            </w:rPr>
            <w:t>6</w:t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1.0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