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под полициско придружување од Министерството за внатрешни работи,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under police escort by the Ministry of Interior Affairs,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материјалот преку контролирано пакување на палети,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барањето за полициско придружување и известувањето до Министерството за внатрешни работи и известувањето по транспортот до Министерството за здравство; и (г) следливост на секоја кеса, картон и палета до серијата, барањето и транспортниот настан, со систем целосно на хартија.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the material through controlled palletised packaging, labelling and condition monitoring; (b) security and an unbroken chain of custody; (c) compliance with the national narcotic-control regulations, including the request for police escort and notification to the Ministry of Interior Affairs and the post-transport notification to the Ministry of Health; and (d) traceability of every bag, carton and pallet to its batch, request and transport event, with an entirely paper-based system.</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договорен, квалификуван и овластен превозник (транспортна компанија), со возило и возач одредени во TRA, под придружба на полициски службеници на Министерството за внатрешни работи: (1) меѓупроизвод (ринфуз во кеси) и готов производ (сув цвет од канабис) до домашни примачи со дозвола; (2) пропагационен материјал (клонови и семе) меѓу локации; (3) последната делница по царинско ослободување до локацијата; и (4)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qualified and licensed carrier (transport company), with the vehicle and driver designated in the TRA, under escort by police officers of the Ministry of Interior Affairs: (1) intermediate (bulk in bags) and finished product (dried cannabis flower) to licensed domestic consignees; (2) propagation material (clones and seeds) between sites; (3) the final leg after customs clearance to the site; and (4)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барањето за полициско придружување, пакувањето на палети, означувањето и листите на пакување, поставувањето на логерите,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the request for police escort, palletised packaging, labelling and packing lists, logger placement, dispatch and chain of custody, in-transit control, receipt, reconciliation, post-transport notification, archiving and deviation management.</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транспортот на мостри за контрола на квалитет до надворешни (договорни) лаборатории, регулиран со посебната СОП PP-QC-SOP-025; интерното движење на материјали во рамките на локацијата (WHSOP 001); и валидацијата на транспортните рути, возила и пакувања, која е регулирана со QASOP_0XX. Ангажирање на приватна обезбедувачка компанија не е предвидено со оваа СОП.</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the transport of quality-control samples to external (contracted) laboratories, governed by the separate SOP PP-QC-SOP-025; internal movement of materials within the site (WHSOP 001); and the validation of transport lanes, vehicles and packaging, governed by QASOP_0XX. The engagement of a private security company is not provided for by this SOP.</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нови возила, на нови форми на производ (екстракти, готови дозирани форми), на нови конфигурации на пакување, на нови рути и на електронски систем за следење, преку контрола на промени, ревизија на оваа СОП и квалификација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new vehicles, new product forms (extracts, finished dosage forms), new packaging configurations, new lanes and an electronic tracking system, through change control, revision of this SOP and qualification per QASOP_0XX before first use.</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3.0 ОДГОВОРНОСТИ</w:t>
      </w:r>
      <w:r>
        <w:rPr>
          <w:rFonts w:ascii="Calibri" w:hAnsi="Calibri"/>
          <w:b w:val="0"/>
          <w:i w:val="0"/>
          <w:color w:val="000000"/>
          <w:sz w:val="24"/>
        </w:rPr>
        <w:tab/>
      </w:r>
      <w:r>
        <w:rPr>
          <w:rFonts w:ascii="Calibri" w:hAnsi="Calibri"/>
          <w:b/>
          <w:i w:val="0"/>
          <w:color w:val="595959"/>
          <w:sz w:val="24"/>
        </w:rPr>
        <w:t>3.0 RESPONSIBILITIES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690"/>
        <w:gridCol w:w="510"/>
        <w:gridCol w:w="551"/>
        <w:gridCol w:w="1520"/>
        <w:gridCol w:w="1214"/>
        <w:gridCol w:w="1267"/>
        <w:gridCol w:w="1202"/>
        <w:gridCol w:w="510"/>
      </w:tblGrid>
      <w:tr>
        <w:trPr>
          <w:cantSplit/>
          <w:tblHeader w:val="true"/>
        </w:trPr>
        <w:tc>
          <w:tcPr>
            <w:shd w:val="clear" w:color="auto" w:fill="D9E2F3"/>
            <w:tcW w:type="dxa" w:w="3690"/>
          </w:tcPr>
          <w:p>
            <w:pPr>
              <w:keepNext/>
            </w:pPr>
            <w:r/>
            <w:r>
              <w:rPr>
                <w:rFonts w:ascii="Calibri" w:hAnsi="Calibri"/>
                <w:b/>
                <w:i w:val="0"/>
                <w:color w:val="000000"/>
                <w:sz w:val="18"/>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510"/>
          </w:tcPr>
          <w:p>
            <w:pPr>
              <w:keepNext/>
            </w:pPr>
            <w:r/>
            <w:r>
              <w:rPr>
                <w:rFonts w:ascii="Calibri" w:hAnsi="Calibri"/>
                <w:b/>
                <w:i w:val="0"/>
                <w:color w:val="000000"/>
                <w:sz w:val="18"/>
              </w:rPr>
              <w:t>КК</w:t>
            </w:r>
            <w:r>
              <w:rPr>
                <w:rFonts w:ascii="Calibri" w:hAnsi="Calibri"/>
                <w:b w:val="0"/>
                <w:i w:val="0"/>
                <w:color w:val="000000"/>
                <w:sz w:val="14"/>
              </w:rPr>
              <w:t xml:space="preserve"> | </w:t>
            </w:r>
            <w:r>
              <w:rPr>
                <w:rFonts w:ascii="Calibri" w:hAnsi="Calibri"/>
                <w:b/>
                <w:i w:val="0"/>
                <w:color w:val="000000"/>
                <w:sz w:val="14"/>
              </w:rPr>
              <w:t>QC</w:t>
            </w:r>
          </w:p>
        </w:tc>
        <w:tc>
          <w:tcPr>
            <w:shd w:val="clear" w:color="auto" w:fill="D9E2F3"/>
            <w:tcW w:type="dxa" w:w="551"/>
          </w:tcPr>
          <w:p>
            <w:pPr>
              <w:keepNext/>
            </w:pPr>
            <w:r/>
            <w:r>
              <w:rPr>
                <w:rFonts w:ascii="Calibri" w:hAnsi="Calibri"/>
                <w:b/>
                <w:i w:val="0"/>
                <w:color w:val="000000"/>
                <w:sz w:val="18"/>
              </w:rPr>
              <w:t>QA</w:t>
            </w:r>
            <w:r>
              <w:rPr>
                <w:rFonts w:ascii="Calibri" w:hAnsi="Calibri"/>
                <w:b/>
                <w:i w:val="0"/>
                <w:color w:val="000000"/>
                <w:sz w:val="14"/>
              </w:rPr>
            </w:r>
          </w:p>
        </w:tc>
        <w:tc>
          <w:tcPr>
            <w:shd w:val="clear" w:color="auto" w:fill="D9E2F3"/>
            <w:tcW w:type="dxa" w:w="1520"/>
          </w:tcPr>
          <w:p>
            <w:pPr>
              <w:keepNext/>
            </w:pPr>
            <w:r/>
            <w:r>
              <w:rPr>
                <w:rFonts w:ascii="Calibri" w:hAnsi="Calibri"/>
                <w:b/>
                <w:i w:val="0"/>
                <w:color w:val="000000"/>
                <w:sz w:val="18"/>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1214"/>
          </w:tcPr>
          <w:p>
            <w:pPr>
              <w:keepNext/>
            </w:pPr>
            <w:r/>
            <w:r>
              <w:rPr>
                <w:rFonts w:ascii="Calibri" w:hAnsi="Calibri"/>
                <w:b/>
                <w:i w:val="0"/>
                <w:color w:val="000000"/>
                <w:sz w:val="18"/>
              </w:rPr>
              <w:t>Логистика</w:t>
            </w:r>
            <w:r>
              <w:rPr>
                <w:rFonts w:ascii="Calibri" w:hAnsi="Calibri"/>
                <w:b w:val="0"/>
                <w:i w:val="0"/>
                <w:color w:val="000000"/>
                <w:sz w:val="14"/>
              </w:rPr>
              <w:t xml:space="preserve"> | </w:t>
            </w:r>
            <w:r>
              <w:rPr>
                <w:rFonts w:ascii="Calibri" w:hAnsi="Calibri"/>
                <w:b/>
                <w:i w:val="0"/>
                <w:color w:val="000000"/>
                <w:sz w:val="14"/>
              </w:rPr>
              <w:t>Logistics</w:t>
            </w:r>
          </w:p>
        </w:tc>
        <w:tc>
          <w:tcPr>
            <w:shd w:val="clear" w:color="auto" w:fill="D9E2F3"/>
            <w:tcW w:type="dxa" w:w="1267"/>
          </w:tcPr>
          <w:p>
            <w:pPr>
              <w:keepNext/>
            </w:pPr>
            <w:r/>
            <w:r>
              <w:rPr>
                <w:rFonts w:ascii="Calibri" w:hAnsi="Calibri"/>
                <w:b/>
                <w:i w:val="0"/>
                <w:color w:val="000000"/>
                <w:sz w:val="18"/>
              </w:rPr>
              <w:t>Превозник (возач)</w:t>
            </w:r>
            <w:r>
              <w:rPr>
                <w:rFonts w:ascii="Calibri" w:hAnsi="Calibri"/>
                <w:b w:val="0"/>
                <w:i w:val="0"/>
                <w:color w:val="000000"/>
                <w:sz w:val="14"/>
              </w:rPr>
              <w:t xml:space="preserve"> | </w:t>
            </w:r>
            <w:r>
              <w:rPr>
                <w:rFonts w:ascii="Calibri" w:hAnsi="Calibri"/>
                <w:b/>
                <w:i w:val="0"/>
                <w:color w:val="000000"/>
                <w:sz w:val="14"/>
              </w:rPr>
              <w:t>Carrier (driver)</w:t>
            </w:r>
          </w:p>
        </w:tc>
        <w:tc>
          <w:tcPr>
            <w:shd w:val="clear" w:color="auto" w:fill="D9E2F3"/>
            <w:tcW w:type="dxa" w:w="1202"/>
          </w:tcPr>
          <w:p>
            <w:pPr>
              <w:keepNext/>
            </w:pPr>
            <w:r/>
            <w:r>
              <w:rPr>
                <w:rFonts w:ascii="Calibri" w:hAnsi="Calibri"/>
                <w:b/>
                <w:i w:val="0"/>
                <w:color w:val="000000"/>
                <w:sz w:val="18"/>
              </w:rPr>
              <w:t>Примач</w:t>
            </w:r>
            <w:r>
              <w:rPr>
                <w:rFonts w:ascii="Calibri" w:hAnsi="Calibri"/>
                <w:b w:val="0"/>
                <w:i w:val="0"/>
                <w:color w:val="000000"/>
                <w:sz w:val="14"/>
              </w:rPr>
              <w:t xml:space="preserve"> | </w:t>
            </w:r>
            <w:r>
              <w:rPr>
                <w:rFonts w:ascii="Calibri" w:hAnsi="Calibri"/>
                <w:b/>
                <w:i w:val="0"/>
                <w:color w:val="000000"/>
                <w:sz w:val="14"/>
              </w:rPr>
              <w:t>Consignee</w:t>
            </w:r>
          </w:p>
        </w:tc>
        <w:tc>
          <w:tcPr>
            <w:shd w:val="clear" w:color="auto" w:fill="D9E2F3"/>
            <w:tcW w:type="dxa" w:w="510"/>
          </w:tcPr>
          <w:p>
            <w:pPr>
              <w:keepNext/>
            </w:pPr>
            <w:r/>
            <w:r>
              <w:rPr>
                <w:rFonts w:ascii="Calibri" w:hAnsi="Calibri"/>
                <w:b/>
                <w:i w:val="0"/>
                <w:color w:val="000000"/>
                <w:sz w:val="18"/>
              </w:rPr>
              <w:t>QP</w:t>
            </w:r>
            <w:r>
              <w:rPr>
                <w:rFonts w:ascii="Calibri" w:hAnsi="Calibri"/>
                <w:b/>
                <w:i w:val="0"/>
                <w:color w:val="000000"/>
                <w:sz w:val="14"/>
              </w:rPr>
            </w:r>
          </w:p>
        </w:tc>
      </w:tr>
      <w:tr>
        <w:trPr>
          <w:cantSplit/>
        </w:trPr>
        <w:tc>
          <w:tcPr>
            <w:tcW w:type="dxa" w:w="3690"/>
          </w:tcPr>
          <w:p>
            <w:pPr>
              <w:keepNext/>
            </w:pPr>
            <w:r/>
            <w:r>
              <w:rPr>
                <w:rFonts w:ascii="Calibri" w:hAnsi="Calibri"/>
                <w:b w:val="0"/>
                <w:i w:val="0"/>
                <w:color w:val="000000"/>
                <w:sz w:val="18"/>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510"/>
          </w:tcPr>
          <w:p>
            <w:pPr>
              <w:keepNext/>
            </w:pPr>
            <w:r/>
            <w:r>
              <w:rPr>
                <w:rFonts w:ascii="Calibri" w:hAnsi="Calibri"/>
                <w:b w:val="0"/>
                <w:i w:val="0"/>
                <w:color w:val="000000"/>
                <w:sz w:val="18"/>
              </w:rPr>
              <w:t>C</w:t>
            </w:r>
            <w:r>
              <w:rPr>
                <w:rFonts w:ascii="Calibri" w:hAnsi="Calibri"/>
                <w:b w:val="0"/>
                <w:i w:val="0"/>
                <w:color w:val="000000"/>
                <w:sz w:val="14"/>
              </w:rPr>
            </w:r>
          </w:p>
        </w:tc>
        <w:tc>
          <w:tcPr>
            <w:tcW w:type="dxa" w:w="551"/>
          </w:tcPr>
          <w:p>
            <w:pPr>
              <w:keepNext/>
            </w:pPr>
            <w:r/>
            <w:r>
              <w:rPr>
                <w:rFonts w:ascii="Calibri" w:hAnsi="Calibri"/>
                <w:b w:val="0"/>
                <w:i w:val="0"/>
                <w:color w:val="000000"/>
                <w:sz w:val="18"/>
              </w:rPr>
              <w:t>A</w:t>
            </w:r>
            <w:r>
              <w:rPr>
                <w:rFonts w:ascii="Calibri" w:hAnsi="Calibri"/>
                <w:b w:val="0"/>
                <w:i w:val="0"/>
                <w:color w:val="000000"/>
                <w:sz w:val="14"/>
              </w:rPr>
            </w:r>
          </w:p>
        </w:tc>
        <w:tc>
          <w:tcPr>
            <w:tcW w:type="dxa" w:w="1520"/>
          </w:tcPr>
          <w:p>
            <w:pPr>
              <w:keepNext/>
            </w:pPr>
            <w:r/>
            <w:r>
              <w:rPr>
                <w:rFonts w:ascii="Calibri" w:hAnsi="Calibri"/>
                <w:b w:val="0"/>
                <w:i w:val="0"/>
                <w:color w:val="000000"/>
                <w:sz w:val="18"/>
              </w:rPr>
              <w:t>R</w:t>
            </w:r>
            <w:r>
              <w:rPr>
                <w:rFonts w:ascii="Calibri" w:hAnsi="Calibri"/>
                <w:b w:val="0"/>
                <w:i w:val="0"/>
                <w:color w:val="000000"/>
                <w:sz w:val="14"/>
              </w:rPr>
            </w:r>
          </w:p>
        </w:tc>
        <w:tc>
          <w:tcPr>
            <w:tcW w:type="dxa" w:w="1214"/>
          </w:tcPr>
          <w:p>
            <w:pPr>
              <w:keepNext/>
            </w:pPr>
            <w:r/>
            <w:r>
              <w:rPr>
                <w:rFonts w:ascii="Calibri" w:hAnsi="Calibri"/>
                <w:b w:val="0"/>
                <w:i w:val="0"/>
                <w:color w:val="000000"/>
                <w:sz w:val="18"/>
              </w:rPr>
              <w:t>R</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I</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pPr>
              <w:keepNext/>
            </w:pPr>
            <w:r/>
            <w:r>
              <w:rPr>
                <w:rFonts w:ascii="Calibri" w:hAnsi="Calibri"/>
                <w:b w:val="0"/>
                <w:i w:val="0"/>
                <w:color w:val="000000"/>
                <w:sz w:val="18"/>
              </w:rPr>
              <w:t>Барање за полициско придружување (МВР)</w:t>
            </w:r>
            <w:r>
              <w:rPr>
                <w:rFonts w:ascii="Calibri" w:hAnsi="Calibri"/>
                <w:b w:val="0"/>
                <w:i w:val="0"/>
                <w:color w:val="000000"/>
                <w:sz w:val="14"/>
              </w:rPr>
              <w:t xml:space="preserve"> | </w:t>
            </w:r>
            <w:r>
              <w:rPr>
                <w:rFonts w:ascii="Calibri" w:hAnsi="Calibri"/>
                <w:b w:val="0"/>
                <w:i w:val="0"/>
                <w:color w:val="000000"/>
                <w:sz w:val="14"/>
              </w:rPr>
              <w:t>Request for police escort (MoIA)</w:t>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c>
          <w:tcPr>
            <w:tcW w:type="dxa" w:w="551"/>
          </w:tcPr>
          <w:p>
            <w:pPr>
              <w:keepNext/>
            </w:pPr>
            <w:r/>
            <w:r>
              <w:rPr>
                <w:rFonts w:ascii="Calibri" w:hAnsi="Calibri"/>
                <w:b w:val="0"/>
                <w:i w:val="0"/>
                <w:color w:val="000000"/>
                <w:sz w:val="18"/>
              </w:rPr>
              <w:t>C</w:t>
            </w:r>
            <w:r>
              <w:rPr>
                <w:rFonts w:ascii="Calibri" w:hAnsi="Calibri"/>
                <w:b w:val="0"/>
                <w:i w:val="0"/>
                <w:color w:val="000000"/>
                <w:sz w:val="14"/>
              </w:rPr>
            </w:r>
          </w:p>
        </w:tc>
        <w:tc>
          <w:tcPr>
            <w:tcW w:type="dxa" w:w="1520"/>
          </w:tcPr>
          <w:p>
            <w:pPr>
              <w:keepNext/>
            </w:pPr>
            <w:r/>
            <w:r>
              <w:rPr>
                <w:rFonts w:ascii="Calibri" w:hAnsi="Calibri"/>
                <w:b w:val="0"/>
                <w:i w:val="0"/>
                <w:color w:val="000000"/>
                <w:sz w:val="18"/>
              </w:rPr>
              <w:t>A/R</w:t>
            </w:r>
            <w:r>
              <w:rPr>
                <w:rFonts w:ascii="Calibri" w:hAnsi="Calibri"/>
                <w:b w:val="0"/>
                <w:i w:val="0"/>
                <w:color w:val="000000"/>
                <w:sz w:val="14"/>
              </w:rPr>
            </w:r>
          </w:p>
        </w:tc>
        <w:tc>
          <w:tcPr>
            <w:tcW w:type="dxa" w:w="1214"/>
          </w:tcPr>
          <w:p>
            <w:pPr>
              <w:keepNext/>
            </w:pPr>
            <w:r/>
            <w:r>
              <w:rPr>
                <w:rFonts w:ascii="Calibri" w:hAnsi="Calibri"/>
                <w:b w:val="0"/>
                <w:i w:val="0"/>
                <w:color w:val="000000"/>
                <w:sz w:val="18"/>
              </w:rPr>
              <w:t>C</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Пакување на палети, етикети, листи на пакување</w:t>
            </w:r>
            <w:r>
              <w:rPr>
                <w:rFonts w:ascii="Calibri" w:hAnsi="Calibri"/>
                <w:b w:val="0"/>
                <w:i w:val="0"/>
                <w:color w:val="000000"/>
                <w:sz w:val="14"/>
              </w:rPr>
              <w:t xml:space="preserve"> | </w:t>
            </w:r>
            <w:r>
              <w:rPr>
                <w:rFonts w:ascii="Calibri" w:hAnsi="Calibri"/>
                <w:b w:val="0"/>
                <w:i w:val="0"/>
                <w:color w:val="000000"/>
                <w:sz w:val="14"/>
              </w:rPr>
              <w:t>Palletising, labels, packing lists</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I</w:t>
            </w:r>
            <w:r>
              <w:rPr>
                <w:rFonts w:ascii="Calibri" w:hAnsi="Calibri"/>
                <w:b w:val="0"/>
                <w:i w:val="0"/>
                <w:color w:val="000000"/>
                <w:sz w:val="14"/>
              </w:rPr>
            </w:r>
          </w:p>
        </w:tc>
        <w:tc>
          <w:tcPr>
            <w:tcW w:type="dxa" w:w="1214"/>
          </w:tcPr>
          <w:p>
            <w:r/>
            <w:r>
              <w:rPr>
                <w:rFonts w:ascii="Calibri" w:hAnsi="Calibri"/>
                <w:b w:val="0"/>
                <w:i w:val="0"/>
                <w:color w:val="000000"/>
                <w:sz w:val="18"/>
              </w:rPr>
              <w:t>A/R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Поставување на логерите</w:t>
            </w:r>
            <w:r>
              <w:rPr>
                <w:rFonts w:ascii="Calibri" w:hAnsi="Calibri"/>
                <w:b w:val="0"/>
                <w:i w:val="0"/>
                <w:color w:val="000000"/>
                <w:sz w:val="14"/>
              </w:rPr>
              <w:t xml:space="preserve"> | </w:t>
            </w:r>
            <w:r>
              <w:rPr>
                <w:rFonts w:ascii="Calibri" w:hAnsi="Calibri"/>
                <w:b w:val="0"/>
                <w:i w:val="0"/>
                <w:color w:val="000000"/>
                <w:sz w:val="14"/>
              </w:rPr>
              <w:t>Logger placement</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w:t>
            </w:r>
            <w:r>
              <w:rPr>
                <w:rFonts w:ascii="Calibri" w:hAnsi="Calibri"/>
                <w:b w:val="0"/>
                <w:i w:val="0"/>
                <w:color w:val="000000"/>
                <w:sz w:val="14"/>
              </w:rPr>
            </w:r>
          </w:p>
        </w:tc>
        <w:tc>
          <w:tcPr>
            <w:tcW w:type="dxa" w:w="1520"/>
          </w:tcPr>
          <w:p>
            <w:r/>
            <w:r>
              <w:rPr>
                <w:rFonts w:ascii="Calibri" w:hAnsi="Calibri"/>
                <w:b w:val="0"/>
                <w:i w:val="0"/>
                <w:color w:val="000000"/>
                <w:sz w:val="18"/>
              </w:rPr>
              <w:t>—</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I</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A/R</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C</w:t>
            </w:r>
            <w:r>
              <w:rPr>
                <w:rFonts w:ascii="Calibri" w:hAnsi="Calibri"/>
                <w:b w:val="0"/>
                <w:i w:val="0"/>
                <w:color w:val="000000"/>
                <w:sz w:val="14"/>
              </w:rPr>
            </w:r>
          </w:p>
        </w:tc>
        <w:tc>
          <w:tcPr>
            <w:tcW w:type="dxa" w:w="1520"/>
          </w:tcPr>
          <w:p>
            <w:r/>
            <w:r>
              <w:rPr>
                <w:rFonts w:ascii="Calibri" w:hAnsi="Calibri"/>
                <w:b w:val="0"/>
                <w:i w:val="0"/>
                <w:color w:val="000000"/>
                <w:sz w:val="18"/>
              </w:rPr>
              <w:t>R</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A</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A/R</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C</w:t>
            </w:r>
            <w:r>
              <w:rPr>
                <w:rFonts w:ascii="Calibri" w:hAnsi="Calibri"/>
                <w:b w:val="0"/>
                <w:i w:val="0"/>
                <w:color w:val="000000"/>
                <w:sz w:val="14"/>
              </w:rPr>
            </w:r>
          </w:p>
        </w:tc>
      </w:tr>
    </w:tbl>
    <w:p>
      <w:pPr>
        <w:keepNext/>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 Полициското придружување го извршува МВР и не е дел од матрицата.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 The police escort is performed by the MoIA and is not part of the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формирањето на палетите, печатењето и поставувањето на етикетите, листите на пакување (WHSOP_003_A03), поставувањето на логерите,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building the pallets, printing and applying the labels, the packing lists (WHSOP_003_A03), logger placement,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го изготвува и поднесува Барањето за полициско придружување и известувањето до МВР (WHSOP_003_A02), ја проверува писмената потврда од МВР пред да ја одобри отпремата, го потврдува присуството на полициското придружување на точката на предавање 1, одржува телефонска врска со возачот за време на транспортот и го изготвува извештајот по транспортот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Request for police escort and notification to the MoIA (WHSOP_003_A02), verifies the written MoIA confirmation before authorising dispatch, confirms the presence of the police escort at transfer point 1, keeps telephone contact with the driver during the transport and prepares the post-transport report (WHSOP_003_A06).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потврдува статусот на материјалот пред отпремата и се консултира кога отстапување во условите на транспорт може да влијае на квалитетот.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confirms the status of the material before dispatch and is consulted when a deviation in transport conditions may affect quality.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го квалификува превозникот (QAS-10-003) и го одржува Договорот за квалитет со него, го одобрува TRA (WHSOP_003_A01), го одобрува распоредот на логерите, ги презема и прегледува податоците од логерите, го прегледува комплетниот транспортен досие во рок од 48 часа и ја носи диспозицијата (WHSOP_003_A07);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(QAS-10-003) and maintains the Quality Agreement with it, approves the TRA (WHSOP_003_A01), approves the logger placement plan, downloads and reviews the logger data, reviews the complete transport file within 48 hours and records the disposition (WHSOP_003_A07);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(транспортна компанија): обезбедува возило и возач според Договорот за квалитет; возачот го презема товарот на точката на предавање 1, ја вози одобрената рута под полициско придружување, не го остава возилото без надзор, ги евидентира контролните јавувања и инцидентите, го предава товарот на примачот и ги враќа документите и USB логерот во рок од 24 часа; превозникот известува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(transport company): provides the vehicle and driver per the Quality Agreement; the driver takes over the load at transfer point 1, drives the approved route under police escort, never leaves the vehicle unattended, records check-in calls and incidents, hands the load over to the consignee and returns the documents and the USB logger within 24 hours; the carrier notifies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Придружник на Пјурли Плант (ако е одреден во TRA): овластено лице на Пјурли Плант кое ја придружува пратката, го потпишува предавањето и ги евидентира контролните јавувања наместо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Purely Plant accompanying person (if designated in the TRA): an authorised Purely Plant person who accompanies the consignment, signs the hand-overs and records the check-in calls instead of the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го проверува бројот на палети, целоста на завиткувањето и пломбите и идентитетот пред потпис, ги вади и запира логерите за еднократна употреба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verifies the pallet count, integrity of the wrapping and seals, and identity before signing, removes and stops the single-use loggers and signs the chain of custody.</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 превозник); Annex 7 (растителни лекови); Annex 11 (компјутеризирани системи — софтвер на USB логерите);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 carrier); Annex 7 (herbal medicinal products); Annex 11 (computerised systems — USB logger software);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7 (аутсорсирани активности) и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7 (outsourced activities) and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Превозник — договорна транспортна компанија, квалификувана според QAS-10-003, со важечки Договор за квалитет, која го обезбедува возилото и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Carrier — a contracted transport company, qualified per QAS-10-003, holding a valid Quality Agreement, which provides the vehicle and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Активна / пасивна контрола на температура — возило со уред за ладење/греење со поставена вредност (активна) или без него, со заштита само со термо-ќебиња (пасивна); се означува со поле за избор во A01, A04 и 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Active / passive temperature control — a vehicle with a cooling/heating unit with a set point (active) or without one, protected only by thermal blankets (passive); marked with a checkbox in A01, A04 and 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палети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pallets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Палета — евро-палета (1200 × 800 mm), голема (G — 8 картони) или мала (M — 4 картони), завиткана со стреч-фолија и термо-ќебе; идентификатор на палета: UTID-Pnn (на пр. TR-20261015-001-P01).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Pallet — a Euro pallet (1200 × 800 mm), large (L — 8 cartons) or small (S — 4 cartons), wrapped in stretch film and a thermal blanket; pallet ID: UTID-Pnn (e.g. TR-20261015-001-P01).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Картон — транспортна кутија од брановиден картон со 10 кеси меѓупроизвод (ринфуз); идентификатор на картон: UTID-Pnn-Cnn (на пр. TR-20261015-001-P01-C03).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Carton — a corrugated transport box holding 10 bags of intermediate (bulk); carton ID: UTID-Pnn-Cnn (e.g. TR-20261015-001-P01-C03).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Кеса — примарно пакување на меѓупроизводот, означено со серијата и редниот број на кесата од производствениот запис; не се преозначува за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Bag — the primary packaging of the intermediate, labelled with the batch and the bag number from the production record; it is not relabelled for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Листа на пакување — запис на хартија што ги наведува содржаните единици: кесите во картонот или картоните во палетата (WHSOP_003_A03).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Packing list — a paper record listing the units contained: the bags in a carton or the cartons on a pallet (WHSOP_003_A03).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кој се активира еднаш, оди со палетата и по запирање дава неизменлив извештај (PDF).</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certificate, activated once, travelling with the pallet and producing an unalterable report (PDF) once stopped.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чии податоци се преземаат преку USB со софтвер верификуван според Annex 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whose data are downloaded via USB with software verified per Annex 11.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возило/конфигурација на 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configuration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или лента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or tape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G/M — голема/мала палета (L/S);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L/S — large/small pallet (G/M); RH; MKT; CAPA; GMP; GDP; QA; QC; QP; SOP; CoA.</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со истата конфигурација на возило и палети; (б) пријавено до МВР со барање за полициско придружување и писмено потврдено пред отпремата; (в) извршено од квалификуван договорен превозник со важечки Договор за квалитет, под полициско придружување; и (г) следено со калибрирани логери според 6.4.5.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with the same vehicle and pallet configuration; (b) notified to the MoIA with a request for police escort and confirmed in writing before dispatch; (c) performed by a qualified contracted carrier holding a valid Quality Agreement, under police escort; and (d) monitored with calibrated loggers per 6.4.5. No movement starts if any of these conditions is not met.</w:t>
            </w:r>
          </w:p>
        </w:tc>
      </w:tr>
    </w:tbl>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496"/>
        <w:gridCol w:w="1939"/>
        <w:gridCol w:w="1036"/>
        <w:gridCol w:w="2496"/>
        <w:gridCol w:w="2496"/>
      </w:tblGrid>
      <w:tr>
        <w:trPr>
          <w:cantSplit/>
          <w:tblHeader w:val="true"/>
        </w:trPr>
        <w:tc>
          <w:tcPr>
            <w:shd w:val="clear" w:color="auto" w:fill="D9E2F3"/>
            <w:tcW w:type="dxa" w:w="2496"/>
          </w:tcPr>
          <w:p>
            <w:pPr>
              <w:keepNext/>
            </w:pPr>
            <w:r/>
            <w:r>
              <w:rPr>
                <w:rFonts w:ascii="Calibri" w:hAnsi="Calibri"/>
                <w:b/>
                <w:i w:val="0"/>
                <w:color w:val="000000"/>
                <w:sz w:val="20"/>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39"/>
          </w:tcPr>
          <w:p>
            <w:pPr>
              <w:keepNext/>
            </w:pPr>
            <w:r/>
            <w:r>
              <w:rPr>
                <w:rFonts w:ascii="Calibri" w:hAnsi="Calibri"/>
                <w:b/>
                <w:i w:val="0"/>
                <w:color w:val="000000"/>
                <w:sz w:val="20"/>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1036"/>
          </w:tcPr>
          <w:p>
            <w:pPr>
              <w:keepNext/>
            </w:pPr>
            <w:r/>
            <w:r>
              <w:rPr>
                <w:rFonts w:ascii="Calibri" w:hAnsi="Calibri"/>
                <w:b/>
                <w:i w:val="0"/>
                <w:color w:val="000000"/>
                <w:sz w:val="20"/>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496"/>
          </w:tcPr>
          <w:p>
            <w:pPr>
              <w:keepNext/>
            </w:pPr>
            <w:r/>
            <w:r>
              <w:rPr>
                <w:rFonts w:ascii="Calibri" w:hAnsi="Calibri"/>
                <w:b/>
                <w:i w:val="0"/>
                <w:color w:val="000000"/>
                <w:sz w:val="20"/>
              </w:rPr>
              <w:t>Логери</w:t>
            </w:r>
            <w:r>
              <w:rPr>
                <w:rFonts w:ascii="Calibri" w:hAnsi="Calibri"/>
                <w:b w:val="0"/>
                <w:i w:val="0"/>
                <w:color w:val="000000"/>
                <w:sz w:val="14"/>
              </w:rPr>
              <w:t xml:space="preserve"> | </w:t>
            </w:r>
            <w:r>
              <w:rPr>
                <w:rFonts w:ascii="Calibri" w:hAnsi="Calibri"/>
                <w:b/>
                <w:i w:val="0"/>
                <w:color w:val="000000"/>
                <w:sz w:val="14"/>
              </w:rPr>
              <w:t>Loggers</w:t>
            </w:r>
          </w:p>
        </w:tc>
        <w:tc>
          <w:tcPr>
            <w:shd w:val="clear" w:color="auto" w:fill="D9E2F3"/>
            <w:tcW w:type="dxa" w:w="2496"/>
          </w:tcPr>
          <w:p>
            <w:pPr>
              <w:keepNext/>
            </w:pPr>
            <w:r/>
            <w:r>
              <w:rPr>
                <w:rFonts w:ascii="Calibri" w:hAnsi="Calibri"/>
                <w:b/>
                <w:i w:val="0"/>
                <w:color w:val="000000"/>
                <w:sz w:val="20"/>
              </w:rPr>
              <w:t>Пакување</w:t>
            </w:r>
            <w:r>
              <w:rPr>
                <w:rFonts w:ascii="Calibri" w:hAnsi="Calibri"/>
                <w:b w:val="0"/>
                <w:i w:val="0"/>
                <w:color w:val="000000"/>
                <w:sz w:val="14"/>
              </w:rPr>
              <w:t xml:space="preserve"> | </w:t>
            </w:r>
            <w:r>
              <w:rPr>
                <w:rFonts w:ascii="Calibri" w:hAnsi="Calibri"/>
                <w:b/>
                <w:i w:val="0"/>
                <w:color w:val="000000"/>
                <w:sz w:val="14"/>
              </w:rPr>
              <w:t>Packaging</w:t>
            </w:r>
          </w:p>
        </w:tc>
      </w:tr>
      <w:tr>
        <w:trPr>
          <w:cantSplit/>
        </w:trPr>
        <w:tc>
          <w:tcPr>
            <w:tcW w:type="dxa" w:w="2496"/>
          </w:tcPr>
          <w:p>
            <w:pPr>
              <w:keepNext/>
            </w:pPr>
            <w:r/>
            <w:r>
              <w:rPr>
                <w:rFonts w:ascii="Calibri" w:hAnsi="Calibri"/>
                <w:b w:val="0"/>
                <w:i w:val="0"/>
                <w:color w:val="000000"/>
                <w:sz w:val="20"/>
              </w:rPr>
              <w:t>Меѓупроизвод (ринфуз во кеси)</w:t>
            </w:r>
            <w:r>
              <w:rPr>
                <w:rFonts w:ascii="Calibri" w:hAnsi="Calibri"/>
                <w:b w:val="0"/>
                <w:i w:val="0"/>
                <w:color w:val="000000"/>
                <w:sz w:val="14"/>
              </w:rPr>
              <w:t xml:space="preserve"> | </w:t>
            </w:r>
            <w:r>
              <w:rPr>
                <w:rFonts w:ascii="Calibri" w:hAnsi="Calibri"/>
                <w:b w:val="0"/>
                <w:i w:val="0"/>
                <w:color w:val="000000"/>
                <w:sz w:val="14"/>
              </w:rPr>
              <w:t>Intermediate (bulk in bags)</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10 кеси/картон; палета G 8 или M 4 картони; стреч-фолија и термо-ќебе</w:t>
            </w:r>
            <w:r>
              <w:rPr>
                <w:rFonts w:ascii="Calibri" w:hAnsi="Calibri"/>
                <w:b w:val="0"/>
                <w:i w:val="0"/>
                <w:color w:val="000000"/>
                <w:sz w:val="14"/>
              </w:rPr>
              <w:t xml:space="preserve"> | </w:t>
            </w:r>
            <w:r>
              <w:rPr>
                <w:rFonts w:ascii="Calibri" w:hAnsi="Calibri"/>
                <w:b w:val="0"/>
                <w:i w:val="0"/>
                <w:color w:val="000000"/>
                <w:sz w:val="14"/>
              </w:rPr>
              <w:t>10 bags/carton; pallet L 8 or S 4 cartons; stretch film and thermal blanket</w:t>
            </w:r>
          </w:p>
        </w:tc>
      </w:tr>
      <w:tr>
        <w:trPr>
          <w:cantSplit/>
        </w:trPr>
        <w:tc>
          <w:tcPr>
            <w:tcW w:type="dxa" w:w="2496"/>
          </w:tcPr>
          <w:p>
            <w:pPr>
              <w:keepNext/>
            </w:pPr>
            <w:r/>
            <w:r>
              <w:rPr>
                <w:rFonts w:ascii="Calibri" w:hAnsi="Calibri"/>
                <w:b w:val="0"/>
                <w:i w:val="0"/>
                <w:color w:val="000000"/>
                <w:sz w:val="20"/>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запечатени кеси во картони на палета, како погоре</w:t>
            </w:r>
            <w:r>
              <w:rPr>
                <w:rFonts w:ascii="Calibri" w:hAnsi="Calibri"/>
                <w:b w:val="0"/>
                <w:i w:val="0"/>
                <w:color w:val="000000"/>
                <w:sz w:val="14"/>
              </w:rPr>
              <w:t xml:space="preserve"> | </w:t>
            </w:r>
            <w:r>
              <w:rPr>
                <w:rFonts w:ascii="Calibri" w:hAnsi="Calibri"/>
                <w:b w:val="0"/>
                <w:i w:val="0"/>
                <w:color w:val="000000"/>
                <w:sz w:val="14"/>
              </w:rPr>
              <w:t>sealed bags in cartons on pallets, as above</w:t>
            </w:r>
          </w:p>
        </w:tc>
      </w:tr>
      <w:tr>
        <w:trPr>
          <w:cantSplit/>
        </w:trPr>
        <w:tc>
          <w:tcPr>
            <w:tcW w:type="dxa" w:w="2496"/>
          </w:tcPr>
          <w:p>
            <w:pPr>
              <w:keepNext/>
            </w:pPr>
            <w:r/>
            <w:r>
              <w:rPr>
                <w:rFonts w:ascii="Calibri" w:hAnsi="Calibri"/>
                <w:b w:val="0"/>
                <w:i w:val="0"/>
                <w:color w:val="000000"/>
                <w:sz w:val="20"/>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39"/>
          </w:tcPr>
          <w:p>
            <w:pPr>
              <w:keepNext/>
            </w:pPr>
            <w:r/>
            <w:r>
              <w:rPr>
                <w:rFonts w:ascii="Calibri" w:hAnsi="Calibri"/>
                <w:b w:val="0"/>
                <w:i w:val="0"/>
                <w:color w:val="000000"/>
                <w:sz w:val="20"/>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1036"/>
          </w:tcPr>
          <w:p>
            <w:pPr>
              <w:keepNext/>
            </w:pPr>
            <w:r/>
            <w:r>
              <w:rPr>
                <w:rFonts w:ascii="Calibri" w:hAnsi="Calibri"/>
                <w:b w:val="0"/>
                <w:i w:val="0"/>
                <w:color w:val="000000"/>
                <w:sz w:val="20"/>
              </w:rPr>
              <w:t>—</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во ладилникот + 1 USB</w:t>
            </w:r>
            <w:r>
              <w:rPr>
                <w:rFonts w:ascii="Calibri" w:hAnsi="Calibri"/>
                <w:b w:val="0"/>
                <w:i w:val="0"/>
                <w:color w:val="000000"/>
                <w:sz w:val="14"/>
              </w:rPr>
              <w:t xml:space="preserve"> | </w:t>
            </w:r>
            <w:r>
              <w:rPr>
                <w:rFonts w:ascii="Calibri" w:hAnsi="Calibri"/>
                <w:b w:val="0"/>
                <w:i w:val="0"/>
                <w:color w:val="000000"/>
                <w:sz w:val="14"/>
              </w:rPr>
              <w:t>1 single-use in the cool box + 1 USB</w:t>
            </w:r>
          </w:p>
        </w:tc>
        <w:tc>
          <w:tcPr>
            <w:tcW w:type="dxa" w:w="2496"/>
          </w:tcPr>
          <w:p>
            <w:pPr>
              <w:keepNext/>
            </w:pPr>
            <w:r/>
            <w:r>
              <w:rPr>
                <w:rFonts w:ascii="Calibri" w:hAnsi="Calibri"/>
                <w:b w:val="0"/>
                <w:i w:val="0"/>
                <w:color w:val="000000"/>
                <w:sz w:val="20"/>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rPr>
          <w:cantSplit/>
        </w:trPr>
        <w:tc>
          <w:tcPr>
            <w:tcW w:type="dxa" w:w="2496"/>
          </w:tcPr>
          <w:p>
            <w:pPr>
              <w:keepNext/>
            </w:pPr>
            <w:r/>
            <w:r>
              <w:rPr>
                <w:rFonts w:ascii="Calibri" w:hAnsi="Calibri"/>
                <w:b w:val="0"/>
                <w:i w:val="0"/>
                <w:color w:val="000000"/>
                <w:sz w:val="20"/>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39"/>
          </w:tcPr>
          <w:p>
            <w:pPr>
              <w:keepNext/>
            </w:pPr>
            <w:r/>
            <w:r>
              <w:rPr>
                <w:rFonts w:ascii="Calibri" w:hAnsi="Calibri"/>
                <w:b w:val="0"/>
                <w:i w:val="0"/>
                <w:color w:val="000000"/>
                <w:sz w:val="20"/>
              </w:rPr>
              <w:t>5–20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USB во товарниот простор</w:t>
            </w:r>
            <w:r>
              <w:rPr>
                <w:rFonts w:ascii="Calibri" w:hAnsi="Calibri"/>
                <w:b w:val="0"/>
                <w:i w:val="0"/>
                <w:color w:val="000000"/>
                <w:sz w:val="14"/>
              </w:rPr>
              <w:t xml:space="preserve"> | </w:t>
            </w:r>
            <w:r>
              <w:rPr>
                <w:rFonts w:ascii="Calibri" w:hAnsi="Calibri"/>
                <w:b w:val="0"/>
                <w:i w:val="0"/>
                <w:color w:val="000000"/>
                <w:sz w:val="14"/>
              </w:rPr>
              <w:t>1 USB in the load space</w:t>
            </w:r>
          </w:p>
        </w:tc>
        <w:tc>
          <w:tcPr>
            <w:tcW w:type="dxa" w:w="2496"/>
          </w:tcPr>
          <w:p>
            <w:pPr>
              <w:keepNext/>
            </w:pPr>
            <w:r/>
            <w:r>
              <w:rPr>
                <w:rFonts w:ascii="Calibri" w:hAnsi="Calibri"/>
                <w:b w:val="0"/>
                <w:i w:val="0"/>
                <w:color w:val="000000"/>
                <w:sz w:val="20"/>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rPr>
          <w:cantSplit/>
        </w:trPr>
        <w:tc>
          <w:tcPr>
            <w:tcW w:type="dxa" w:w="2496"/>
          </w:tcPr>
          <w:p>
            <w:r/>
            <w:r>
              <w:rPr>
                <w:rFonts w:ascii="Calibri" w:hAnsi="Calibri"/>
                <w:b w:val="0"/>
                <w:i w:val="0"/>
                <w:color w:val="000000"/>
                <w:sz w:val="20"/>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39"/>
          </w:tcPr>
          <w:p>
            <w:r/>
            <w:r>
              <w:rPr>
                <w:rFonts w:ascii="Calibri" w:hAnsi="Calibri"/>
                <w:b w:val="0"/>
                <w:i w:val="0"/>
                <w:color w:val="000000"/>
                <w:sz w:val="20"/>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1036"/>
          </w:tcPr>
          <w:p>
            <w:r/>
            <w:r>
              <w:rPr>
                <w:rFonts w:ascii="Calibri" w:hAnsi="Calibri"/>
                <w:b w:val="0"/>
                <w:i w:val="0"/>
                <w:color w:val="000000"/>
                <w:sz w:val="20"/>
              </w:rPr>
              <w:t>—</w:t>
            </w:r>
            <w:r>
              <w:rPr>
                <w:rFonts w:ascii="Calibri" w:hAnsi="Calibri"/>
                <w:b w:val="0"/>
                <w:i w:val="0"/>
                <w:color w:val="000000"/>
                <w:sz w:val="14"/>
              </w:rPr>
            </w:r>
          </w:p>
        </w:tc>
        <w:tc>
          <w:tcPr>
            <w:tcW w:type="dxa" w:w="2496"/>
          </w:tcPr>
          <w:p>
            <w:r/>
            <w:r>
              <w:rPr>
                <w:rFonts w:ascii="Calibri" w:hAnsi="Calibri"/>
                <w:b w:val="0"/>
                <w:i w:val="0"/>
                <w:color w:val="000000"/>
                <w:sz w:val="20"/>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496"/>
          </w:tcPr>
          <w:p>
            <w:r/>
            <w:r>
              <w:rPr>
                <w:rFonts w:ascii="Calibri" w:hAnsi="Calibri"/>
                <w:b w:val="0"/>
                <w:i w:val="0"/>
                <w:color w:val="000000"/>
                <w:sz w:val="20"/>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p>
      <w:pPr>
        <w:keepNext/>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меѓупроизвод и производ,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број на палети (G/M), картони и кеси,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intermediate and product, Cultivation for propagation material) submits the request to Security at least 5 working days before the planned date, stating: type and quantity of material (net mass in grams), number of pallets (L/S), cartons and bags,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за истото возило и истата конфигурација на палети, и дека превозникот е на листата на одобрени добавувачи. Ако не е,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for the same vehicle and the same pallet configuration, and that the carrier is on the approved supplier list. If it does not,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сезонска температура, времетраење, стабилност на материјалот, распоред на палетите во возилото, точки на запирање и мерки за намалување на ризикот. QA го одобрува TRA пред барањето до МВР.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security, seasonal temperature, duration, material stability, arrangement of the pallets in the vehicle, stopping points and mitigation measures. QA approves the TRA before the request to the MoIA.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Фаза 2 — Барање за полициско придружување (најмалку 24 часа пред отпремата)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Stage 2 — Request for police escort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Барањето за полициско придружување и известување за транспорт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палети, картони и кеси, превозник, регистарски број на возилото, возачот и (ако е одреден) придружникот, опис на рутата и предложено место и време на почеток на придружувањето.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Request for police escort and notification of transport to the MoIA (WHSOP_003_A02) with: Purely Plant details and licence number, UTID, departure date/time and expected arrival, dispatch and receipt addresses, purpose, total net quantity (g), number of pallets, cartons and bags, carrier, vehicle registration, the driver and (if designated) the accompanying person, route description and the proposed place and time at which the escort starts.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Барањето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или придружувањето не се појави,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request is submitted at least 24 hours before departure (in person with stamp — preferred, registered mail with return receipt, or official e-mail where accepted). Written MoIA confirmation (stamp or letter) is MANDATORY before dispatch; if it is not received or the escort does not arrive, dispatch is postponed and the QP is informed.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Фаза 3 — Формирање на палети, означување и логери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Stage 3 — Palletising, labelling and loggers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со двојна проверка од две лица (идентитет на кесата, серија, нето маса); двете лица потпишуваат на листата на пакување на картонот (WHSOP_003_A03).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with two-person verification (bag identity, batch, net mass); both persons sign the carton packing list (WHSOP_003_A03).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Картон: 10 кеси, листа на пакување на картонот во проѕирна плика на картонот и копија во досието; картонот се затвора со серијализирана безбедносна лента; етикетата на картонот (A03) се лепи на една страна. Палета: голема — 8 картони, мала — 4 картони, на евро-палета; картоните се редат без препуштање преку работ на палетата; палетата се завиткува со стреч-фолија, преку неа со термо-ќебе, и повторно со стреч-фолија; крајот на фолијата се лепи со безбедносна лента потпишана и датирана од двете лица.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Carton: 10 bags, the carton packing list in a clear pouch on the carton and a copy in the file; the carton is closed with serialised security tape; the carton label (A03) is applied on one side. Pallet: large — 8 cartons, small — 4 cartons, on a Euro pallet; cartons are stacked without overhanging the pallet edge; the pallet is wrapped in stretch film, then the thermal blanket over it, then stretch film again; the film end is closed with security tape signed and dated by both persons.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Етикети (систем на хартија, без бар-кодови и скенери): етикетите се печатат од контролираниот образец WHSOP_003_A03, со големи читливи знаци; етикетата на палетата се става во проѕирна плика на две соседни страни на надворешното завиткување. Пред лепење, второ лице ги споредува етикетите со листите на пакување и го потпишува тоа. Корекциите се прават според добрата документациска пракса (една линија, иницијали, датум); испишана етикета не се пребришува — се печати нова, а погрешната се поништува и се чува.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Labels (paper-based system, no barcodes or scanners): labels are printed from the controlled template WHSOP_003_A03, in large legible characters; the pallet label is placed in a clear pouch on two adjacent sides of the outer wrap. Before application, a second person compares the labels with the packing lists and signs for it. Corrections follow good documentation practice (single line, initials, date); a printed label is never overwritten — a new one is printed and the wrong one is voided and retained.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Надворешната етикета на палетата содржи: UTID и ID на палетата, тип (G/M), „палета n од N“, број на картони и кеси, испраќач и примач со контакт, услови на чување (15–25 °C, RH ≤ 60 %, заштита од влага), „ПРАТКА ПОД КОНТРОЛА — САМО ОВЛАСТЕН ТРАНСПОРТ“ и број за итни случаи. Таа не ја опишува содржината пошироко од потребното за испорака; сериите и масите се во листата на пакување на палетата, во запечатена плика прикачена на палетата.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The external pallet label carries: UTID and pallet ID, type (L/S), "pallet n of N", number of cartons and bags, consignor and consignee with contact, storage conditions (15–25 °C, RH ≤ 60 %, protect from moisture), "CONTROLLED CONSIGNMENT — AUTHORISED TRANSPORT ONLY" and an emergency number. It does not describe the contents beyond what delivery requires; batches and masses are on the pallet packing list, in a sealed envelope attached to the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Логери: (а) по еден логер за еднократна употреба во секоја палета — се активира и се проверува (почетно време, интервал, граници на аларм), се поставува во горниот слој, во аголот на палетата свртен кон вратите на товарниот простор (или во најлошата позиција утврдена со PQ), меѓу два картона, под термо-ќебето, без допир со фолијата; серискиот број се запишува на листата на пакување на палетата и во A04; (б) еден USB логер за температура и влага во товарниот простор, на рутинската позиција утврдена со OQ (QASOP_0XX), со важечка калибрација. Логерите не се ставаат во запечатените картони, за да може примачот да ги извади без да ги отвора.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Loggers: (a) one single-use logger in every pallet — activated and checked (start time, interval, alarm limits), placed in the top layer, at the pallet corner facing the load-space doors (or at the worst-case position established in PQ), between two cartons, under the thermal blanket and not touching the film; its serial number is recorded on the pallet packing list and in A04; (b) one USB temperature and humidity logger in the load space, at the routine position established in OQ (QASOP_0XX), with valid calibration. Loggers are not placed inside the sealed cartons, so that the consignee can remove them without opening the cartons.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писмена потврда од МВР, одобрен TRA, рута QUALIFIED, палети, етикети и листи на пакување, пломби и ленти, логери, документи, идентитет на лицата и возилото, состојба на возилото.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written MoIA confirmation, approved TRA, lane QUALIFIED, pallets, labels and packing lists, seals and tapes, loggers, documents, identity of the persons and the vehicle, vehicle condition.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на превозникот се проверува: регистарски број според A02, чист, сув и заклучлив товарен простор без мириси и штетници. Ако возилото има активна контрола на температура, таа се поставува на опсегот од 6.1 и се предкондиционира најмалку 30 минути; ако нема, заштитата е пасивна (термо-ќебе) и важи само за времетраењето и сезоната квалификувани во QASOP_0XX. Видот на контролата се означува во A04 §3 и A05. Возачот (и придружникот) се брифираат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carrier's vehicle is checked: registration as per A02, clean, dry and lockable load space free of odours and pests. If the vehicle has active temperature control, it is set to the range in 6.1 and pre-conditioned for at least 30 minutes; if it has none, protection is passive (thermal blanket) and is valid only for the duration and season qualified in QASOP_0XX. The type of control is ticked in A04 §3 and A05. The driver (and accompanying person) are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Палетите се товарат по распоредот од TRA, се обезбедуваат против поместување и не се допираат до ѕидовите и вратите; се фотографираат натоварените палети и пломбата на вратата. На точката на предавање 1 (Пјурли Плант → возач на превозникот и, ако е одреден, придружникот), во присуство на полициското придружување, се бројат палетите, се проверува целоста на завиткувањето и броевите на пломбите, и се потпишува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pallets are loaded according to the arrangement in the TRA, secured against movement and kept clear of the walls and doors; the loaded pallets and the door seal are photographed. At transfer point 1 (Purely Plant → the carrier's driver and, if designated, the accompanying person), in the presence of the police escort, the pallets are counted, the integrity of the wrapping and the seal numbers are checked, and WHSOP_003_A04 is signed; the Head of Security authorises dispatch and records the departure time.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Возачот ја следи одобрената рута под полициско придружување, без отстапување; возилото никогаш не се остава без надзор; се застанува само на места одобрени во TRA или по барање на придружувањето, и содржината не се открива. Принудно отстапување (затворен пат, итност) се договара со придружувањето,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driver follows the approved route under police escort, without deviation; the vehicle is never left unattended; stops are made only at points approved in the TRA or at the request of the escort, and the contents are not disclosed. Any forced deviation (road closure, emergency) is agreed with the escort,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Возачот (или придружникот, ако е одреден) ги евидентира контролните јавувања до Сектор Обезбедување по телефон во WHSOP_003_A04 §4.2: поаѓање, средина на рутата (ако е над 2 часа), 15–30 мин пред пристигнување, пристигнување — време, место, целост на пломбата и (ако возилото има дисплеј) температура на товарниот простор. Не се користи електронски систем за следење; рутата се потврдува со дневникот на јавувања и со потписите на точките на предавање.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The driver (or the accompanying person, if designated) records the check-in calls to Security by telephone in WHSOP_003_A04 §4.2: departure, mid-route (if over 2 hours), 15–30 min before arrival, arrival — time, place, seal integrity and (if the vehicle has a display) load-space temperature. No electronic tracking system is used; the route is confirmed by the call log and the signatures at the transfer points.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(оштетена пломба или завиткување, дефект, сообраќајна незгода, доцнење над 2 часа, аларм на логер, безбедносен инцидент) се пријавуваат во рок од 15 минути: возач → диспечер на превозникот и Обезбедување Пјурли Плант → QA → QP (при критичен инцидент). Безбедносните инциденти на патот ги презема полициското придружување. Палетите не се отвораат.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(damaged seal or wrapping, breakdown, traffic accident, delay over 2 hours, logger alarm, security incident) are reported within 15 minutes: driver → carrier dispatch and Purely Plant Security → QA → QP (for critical incidents). Security incidents on the road are handled by the police escort. Pallets are not opened. The incident is recorded in WHSOP_003_A04 and a deviation is opened (QAS-05-002).</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лицата и возилото, број на палети, целост на завиткувањето, безбедносните ленти и пломбата на вратата, совпаѓање на етикетите на палетите со манифестот, број на картони по палета.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the persons and the vehicle, number of pallets, integrity of the wrapping, security tapes and door seal, match of the pallet labels with the manifest, number of cartons per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Примачот го одвиткува секоја палета, го вади логерот за еднократна употреба, го запира и ги запишува минимумот, максимумот и статусот на алармот (ако логерот го покажува), потоа ги брои картоните и ги проверува безбедносните ленти; кесите во картоните ги проверува според листата на пакување при отворањето. Логерите или нивните PDF-извештаи се враќаат на Пјурли Плант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The consignee unwraps each pallet, removes the single-use logger, stops it and records the minimum, maximum and alarm status (where the logger shows it), then counts the cartons and checks the security tapes; the bags in the cartons are checked against the packing list when the cartons are opened. The loggers or their PDF reports are returned to Purely Plant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Ако пломбата или завиткувањето е оштетено или бројот не одговара, пратката НЕ се прифаќа: се фотографира, се известува QA на Пјурли Плант и се чека диспозиција. При аларм на логер или разлика во бројот/масата, пратката може да се прими „со резерва“ само по одлука на QA. Точка на предавање 2 (возач → примач) се потпишува и заверува во WHSOP_003_A04 со статус на прием: ПРИФАТЕНО / ПРИФАТЕНО СО РЕЗЕРВА / ОДБИЕНО.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If the seal or wrapping is damaged or the count does not match, the consignment is NOT accepted: it is photographed, Purely Plant QA is notified and disposition is awaited. On a logger alarm or a count/mass discrepancy, the consignment may be received "with reservation" only on a QA decision. Transfer point 2 (driver → consignee) is signed and stamped in WHSOP_003_A04 with the receipt status: ACCEPTED / ACCEPTED WITH RESERVATION / REJECTED.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возачот (или придружникот) ги враќа: потпишаниот A04 и A05, USB логерот, фотографиите и скршените пломби; логерите за еднократна употреба или нивните PDF-извештаи ги враќа примачот. QA ги презема податоците од USB логерот со верификуваниот софтвер и ги чува изворните датотеки неизменети.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driver (or the accompanying person) returns: the signed A04 and A05, the USB logger, the photographs and the broken seals; the single-use loggers or their PDF reports are returned by the consignee. QA downloads the USB logger data with the verified software and keeps the original files unaltered.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на три нивоа: палети, картони и кеси; испратена нето маса наспроти примена маса по картон. Разлика над прецизноста на вагата на примачот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at three levels: pallets, cartons and bags; dispatched net mass against received mass per carton. Any difference beyond the precision of the consignee's balance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(WHSOP_003_A06);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(WHSOP_003_A06);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WHSOP_003_A07: ОДОБРЕНО / ОДОБРЕНО СО ОТСТАПУВАЊЕ / НЕУСОГЛАСЕНО (QP одлучува за материјалот). Податоците од сите логери се додаваат во трендот на рутата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WHSOP_003_A07: APPROVED / APPROVED WITH DEVIATION / NON-COMPLIANT (QP decides on the material). The data from all loggers are added to the lane trend (QASOP_0XX_A06).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A01–A07, потврда од МВР, листи на пакување, поништени етикети, извештаи од логерите, фотографии и отстапувања.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A01–A07, MoIA confirmation, packing lists, voided labels, logger reports, photographs and deviations. Retention: at least 5 years or 1 year after batch expiry, whichever is longer (EU GMP Part I §4.11).</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или без придружување, доцнење на известувањето до МЗ), безбедносно (пломба, лента, завиткување, рута, инцидент), за интегритет (аларм на логер, оштетување, губење) или документациско (неусогласена етикета или листа на пакување).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or without escort, late MoH notification), security (seal, tape, wrapping, route, incident), integrity (logger alarm, damage, loss) or documentary (label or packing list mismatch).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на Пјурли Плант (Логистика, Обезбедување, придружници,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Превозникот ги обучува своите возачи за барањата од оваа СОП што се однесуваат на нив (придружување, ланец на надзор, логери, инциденти, документи на хартија) според Договорот за квалитет и доставува доказ пред првиот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Purely Plant personnel (Logistics, Security, accompanying persons, QC, QA) are trained on this SOP and its annexes before the effective date and at every revision, with documented records (HR-01-006); refresher training at least every 2 years. The carrier trains its drivers on the requirements of this SOP that apply to them (escort, chain of custody, loggers, incidents, paper records) per the Quality Agreement and provides evidence before the first transport.</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1826"/>
        <w:gridCol w:w="4320"/>
        <w:gridCol w:w="4320"/>
      </w:tblGrid>
      <w:tr>
        <w:trPr>
          <w:cantSplit/>
          <w:tblHeader w:val="true"/>
        </w:trPr>
        <w:tc>
          <w:tcPr>
            <w:shd w:val="clear" w:color="auto" w:fill="D9E2F3"/>
            <w:tcW w:type="dxa" w:w="1826"/>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4320"/>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4320"/>
          </w:tcPr>
          <w:p>
            <w:pPr>
              <w:keepNext/>
            </w:pPr>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rPr>
          <w:cantSplit/>
        </w:trPr>
        <w:tc>
          <w:tcPr>
            <w:tcW w:type="dxa" w:w="1826"/>
          </w:tcPr>
          <w:p>
            <w:pPr>
              <w:keepNext/>
            </w:pPr>
            <w:r/>
            <w:r>
              <w:rPr>
                <w:rFonts w:ascii="Calibri" w:hAnsi="Calibri"/>
                <w:b w:val="0"/>
                <w:i w:val="0"/>
                <w:color w:val="000000"/>
                <w:sz w:val="22"/>
              </w:rPr>
              <w:t>WHSOP_003_A01</w:t>
            </w:r>
            <w:r>
              <w:rPr>
                <w:rFonts w:ascii="Calibri" w:hAnsi="Calibri"/>
                <w:b w:val="0"/>
                <w:i w:val="0"/>
                <w:color w:val="000000"/>
                <w:sz w:val="14"/>
              </w:rPr>
            </w:r>
          </w:p>
        </w:tc>
        <w:tc>
          <w:tcPr>
            <w:tcW w:type="dxa" w:w="4320"/>
          </w:tcPr>
          <w:p>
            <w:pPr>
              <w:keepNext/>
            </w:pPr>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4320"/>
          </w:tcPr>
          <w:p>
            <w:pPr>
              <w:keepNext/>
            </w:pPr>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rPr>
          <w:cantSplit/>
        </w:trPr>
        <w:tc>
          <w:tcPr>
            <w:tcW w:type="dxa" w:w="1826"/>
          </w:tcPr>
          <w:p>
            <w:pPr>
              <w:keepNext/>
            </w:pPr>
            <w:r/>
            <w:r>
              <w:rPr>
                <w:rFonts w:ascii="Calibri" w:hAnsi="Calibri"/>
                <w:b w:val="0"/>
                <w:i w:val="0"/>
                <w:color w:val="000000"/>
                <w:sz w:val="22"/>
              </w:rPr>
              <w:t>WHSOP_003_A02</w:t>
            </w:r>
            <w:r>
              <w:rPr>
                <w:rFonts w:ascii="Calibri" w:hAnsi="Calibri"/>
                <w:b w:val="0"/>
                <w:i w:val="0"/>
                <w:color w:val="000000"/>
                <w:sz w:val="14"/>
              </w:rPr>
            </w:r>
          </w:p>
        </w:tc>
        <w:tc>
          <w:tcPr>
            <w:tcW w:type="dxa" w:w="4320"/>
          </w:tcPr>
          <w:p>
            <w:pPr>
              <w:keepNext/>
            </w:pPr>
            <w:r/>
            <w:r>
              <w:rPr>
                <w:rFonts w:ascii="Calibri" w:hAnsi="Calibri"/>
                <w:b w:val="0"/>
                <w:i w:val="0"/>
                <w:color w:val="000000"/>
                <w:sz w:val="22"/>
              </w:rPr>
              <w:t>Барање за полициско придружување и известување за транспорт до МВР</w:t>
            </w:r>
            <w:r>
              <w:rPr>
                <w:rFonts w:ascii="Calibri" w:hAnsi="Calibri"/>
                <w:b w:val="0"/>
                <w:i w:val="0"/>
                <w:color w:val="000000"/>
                <w:sz w:val="14"/>
              </w:rPr>
              <w:t xml:space="preserve"> | </w:t>
            </w:r>
            <w:r>
              <w:rPr>
                <w:rFonts w:ascii="Calibri" w:hAnsi="Calibri"/>
                <w:b w:val="0"/>
                <w:i w:val="0"/>
                <w:color w:val="000000"/>
                <w:sz w:val="14"/>
              </w:rPr>
              <w:t>Request for Police Escort and Notification of Transport to the MoIA</w:t>
            </w:r>
          </w:p>
        </w:tc>
        <w:tc>
          <w:tcPr>
            <w:tcW w:type="dxa" w:w="4320"/>
          </w:tcPr>
          <w:p>
            <w:pPr>
              <w:keepNext/>
            </w:pPr>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rPr>
          <w:cantSplit/>
        </w:trPr>
        <w:tc>
          <w:tcPr>
            <w:tcW w:type="dxa" w:w="1826"/>
          </w:tcPr>
          <w:p>
            <w:pPr>
              <w:keepNext/>
            </w:pPr>
            <w:r/>
            <w:r>
              <w:rPr>
                <w:rFonts w:ascii="Calibri" w:hAnsi="Calibri"/>
                <w:b w:val="0"/>
                <w:i w:val="0"/>
                <w:color w:val="000000"/>
                <w:sz w:val="22"/>
              </w:rPr>
              <w:t>WHSOP_003_A03</w:t>
            </w:r>
            <w:r>
              <w:rPr>
                <w:rFonts w:ascii="Calibri" w:hAnsi="Calibri"/>
                <w:b w:val="0"/>
                <w:i w:val="0"/>
                <w:color w:val="000000"/>
                <w:sz w:val="14"/>
              </w:rPr>
            </w:r>
          </w:p>
        </w:tc>
        <w:tc>
          <w:tcPr>
            <w:tcW w:type="dxa" w:w="4320"/>
          </w:tcPr>
          <w:p>
            <w:pPr>
              <w:keepNext/>
            </w:pPr>
            <w:r/>
            <w:r>
              <w:rPr>
                <w:rFonts w:ascii="Calibri" w:hAnsi="Calibri"/>
                <w:b w:val="0"/>
                <w:i w:val="0"/>
                <w:color w:val="000000"/>
                <w:sz w:val="22"/>
              </w:rPr>
              <w:t>Етикети и листи на пакување за палети и картони</w:t>
            </w:r>
            <w:r>
              <w:rPr>
                <w:rFonts w:ascii="Calibri" w:hAnsi="Calibri"/>
                <w:b w:val="0"/>
                <w:i w:val="0"/>
                <w:color w:val="000000"/>
                <w:sz w:val="14"/>
              </w:rPr>
              <w:t xml:space="preserve"> | </w:t>
            </w:r>
            <w:r>
              <w:rPr>
                <w:rFonts w:ascii="Calibri" w:hAnsi="Calibri"/>
                <w:b w:val="0"/>
                <w:i w:val="0"/>
                <w:color w:val="000000"/>
                <w:sz w:val="14"/>
              </w:rPr>
              <w:t>Pallet and Carton Labels and Packing Lists</w:t>
            </w:r>
          </w:p>
        </w:tc>
        <w:tc>
          <w:tcPr>
            <w:tcW w:type="dxa" w:w="4320"/>
          </w:tcPr>
          <w:p>
            <w:pPr>
              <w:keepNext/>
            </w:pPr>
            <w:r/>
            <w:r>
              <w:rPr>
                <w:rFonts w:ascii="Calibri" w:hAnsi="Calibri"/>
                <w:b w:val="0"/>
                <w:i w:val="0"/>
                <w:color w:val="000000"/>
                <w:sz w:val="22"/>
              </w:rPr>
              <w:t>Логистика</w:t>
            </w:r>
            <w:r>
              <w:rPr>
                <w:rFonts w:ascii="Calibri" w:hAnsi="Calibri"/>
                <w:b w:val="0"/>
                <w:i w:val="0"/>
                <w:color w:val="000000"/>
                <w:sz w:val="14"/>
              </w:rPr>
              <w:t xml:space="preserve"> | </w:t>
            </w:r>
            <w:r>
              <w:rPr>
                <w:rFonts w:ascii="Calibri" w:hAnsi="Calibri"/>
                <w:b w:val="0"/>
                <w:i w:val="0"/>
                <w:color w:val="000000"/>
                <w:sz w:val="14"/>
              </w:rPr>
              <w:t>Logistics</w:t>
            </w:r>
          </w:p>
        </w:tc>
      </w:tr>
      <w:tr>
        <w:trPr>
          <w:cantSplit/>
        </w:trPr>
        <w:tc>
          <w:tcPr>
            <w:tcW w:type="dxa" w:w="1826"/>
          </w:tcPr>
          <w:p>
            <w:pPr>
              <w:keepNext/>
            </w:pPr>
            <w:r/>
            <w:r>
              <w:rPr>
                <w:rFonts w:ascii="Calibri" w:hAnsi="Calibri"/>
                <w:b w:val="0"/>
                <w:i w:val="0"/>
                <w:color w:val="000000"/>
                <w:sz w:val="22"/>
              </w:rPr>
              <w:t>WHSOP_003_A04</w:t>
            </w:r>
            <w:r>
              <w:rPr>
                <w:rFonts w:ascii="Calibri" w:hAnsi="Calibri"/>
                <w:b w:val="0"/>
                <w:i w:val="0"/>
                <w:color w:val="000000"/>
                <w:sz w:val="14"/>
              </w:rPr>
            </w:r>
          </w:p>
        </w:tc>
        <w:tc>
          <w:tcPr>
            <w:tcW w:type="dxa" w:w="4320"/>
          </w:tcPr>
          <w:p>
            <w:pPr>
              <w:keepNext/>
            </w:pPr>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4320"/>
          </w:tcPr>
          <w:p>
            <w:pPr>
              <w:keepNext/>
            </w:pPr>
            <w:r/>
            <w:r>
              <w:rPr>
                <w:rFonts w:ascii="Calibri" w:hAnsi="Calibri"/>
                <w:b w:val="0"/>
                <w:i w:val="0"/>
                <w:color w:val="000000"/>
                <w:sz w:val="22"/>
              </w:rPr>
              <w:t>Логистика, возач, примач</w:t>
            </w:r>
            <w:r>
              <w:rPr>
                <w:rFonts w:ascii="Calibri" w:hAnsi="Calibri"/>
                <w:b w:val="0"/>
                <w:i w:val="0"/>
                <w:color w:val="000000"/>
                <w:sz w:val="14"/>
              </w:rPr>
              <w:t xml:space="preserve"> | </w:t>
            </w:r>
            <w:r>
              <w:rPr>
                <w:rFonts w:ascii="Calibri" w:hAnsi="Calibri"/>
                <w:b w:val="0"/>
                <w:i w:val="0"/>
                <w:color w:val="000000"/>
                <w:sz w:val="14"/>
              </w:rPr>
              <w:t>Logistics, driver, consignee</w:t>
            </w:r>
          </w:p>
        </w:tc>
      </w:tr>
      <w:tr>
        <w:trPr>
          <w:cantSplit/>
        </w:trPr>
        <w:tc>
          <w:tcPr>
            <w:tcW w:type="dxa" w:w="1826"/>
          </w:tcPr>
          <w:p>
            <w:pPr>
              <w:keepNext/>
            </w:pPr>
            <w:r/>
            <w:r>
              <w:rPr>
                <w:rFonts w:ascii="Calibri" w:hAnsi="Calibri"/>
                <w:b w:val="0"/>
                <w:i w:val="0"/>
                <w:color w:val="000000"/>
                <w:sz w:val="22"/>
              </w:rPr>
              <w:t>WHSOP_003_A05</w:t>
            </w:r>
            <w:r>
              <w:rPr>
                <w:rFonts w:ascii="Calibri" w:hAnsi="Calibri"/>
                <w:b w:val="0"/>
                <w:i w:val="0"/>
                <w:color w:val="000000"/>
                <w:sz w:val="14"/>
              </w:rPr>
            </w:r>
          </w:p>
        </w:tc>
        <w:tc>
          <w:tcPr>
            <w:tcW w:type="dxa" w:w="4320"/>
          </w:tcPr>
          <w:p>
            <w:pPr>
              <w:keepNext/>
            </w:pPr>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4320"/>
          </w:tcPr>
          <w:p>
            <w:pPr>
              <w:keepNext/>
            </w:pPr>
            <w:r/>
            <w:r>
              <w:rPr>
                <w:rFonts w:ascii="Calibri" w:hAnsi="Calibri"/>
                <w:b w:val="0"/>
                <w:i w:val="0"/>
                <w:color w:val="000000"/>
                <w:sz w:val="22"/>
              </w:rPr>
              <w:t>Обезбедување, Логистика, примач</w:t>
            </w:r>
            <w:r>
              <w:rPr>
                <w:rFonts w:ascii="Calibri" w:hAnsi="Calibri"/>
                <w:b w:val="0"/>
                <w:i w:val="0"/>
                <w:color w:val="000000"/>
                <w:sz w:val="14"/>
              </w:rPr>
              <w:t xml:space="preserve"> | </w:t>
            </w:r>
            <w:r>
              <w:rPr>
                <w:rFonts w:ascii="Calibri" w:hAnsi="Calibri"/>
                <w:b w:val="0"/>
                <w:i w:val="0"/>
                <w:color w:val="000000"/>
                <w:sz w:val="14"/>
              </w:rPr>
              <w:t>Security, Logistics, consignee</w:t>
            </w:r>
          </w:p>
        </w:tc>
      </w:tr>
      <w:tr>
        <w:trPr>
          <w:cantSplit/>
        </w:trPr>
        <w:tc>
          <w:tcPr>
            <w:tcW w:type="dxa" w:w="1826"/>
          </w:tcPr>
          <w:p>
            <w:pPr>
              <w:keepNext/>
            </w:pPr>
            <w:r/>
            <w:r>
              <w:rPr>
                <w:rFonts w:ascii="Calibri" w:hAnsi="Calibri"/>
                <w:b w:val="0"/>
                <w:i w:val="0"/>
                <w:color w:val="000000"/>
                <w:sz w:val="22"/>
              </w:rPr>
              <w:t>WHSOP_003_A06</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4320"/>
          </w:tcPr>
          <w:p>
            <w:pPr>
              <w:keepNext/>
            </w:pPr>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rPr>
          <w:cantSplit/>
        </w:trPr>
        <w:tc>
          <w:tcPr>
            <w:tcW w:type="dxa" w:w="1826"/>
          </w:tcPr>
          <w:p>
            <w:r/>
            <w:r>
              <w:rPr>
                <w:rFonts w:ascii="Calibri" w:hAnsi="Calibri"/>
                <w:b w:val="0"/>
                <w:i w:val="0"/>
                <w:color w:val="000000"/>
                <w:sz w:val="22"/>
              </w:rPr>
              <w:t>WHSOP_003_A07</w:t>
            </w:r>
            <w:r>
              <w:rPr>
                <w:rFonts w:ascii="Calibri" w:hAnsi="Calibri"/>
                <w:b w:val="0"/>
                <w:i w:val="0"/>
                <w:color w:val="000000"/>
                <w:sz w:val="14"/>
              </w:rPr>
            </w:r>
          </w:p>
        </w:tc>
        <w:tc>
          <w:tcPr>
            <w:tcW w:type="dxa" w:w="4320"/>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4320"/>
          </w:tcPr>
          <w:p>
            <w:r/>
            <w:r>
              <w:rPr>
                <w:rFonts w:ascii="Calibri" w:hAnsi="Calibri"/>
                <w:b w:val="0"/>
                <w:i w:val="0"/>
                <w:color w:val="000000"/>
                <w:sz w:val="22"/>
              </w:rPr>
              <w:t>QA</w:t>
            </w:r>
            <w:r>
              <w:rPr>
                <w:rFonts w:ascii="Calibri" w:hAnsi="Calibri"/>
                <w:b w:val="0"/>
                <w:i w:val="0"/>
                <w:color w:val="000000"/>
                <w:sz w:val="14"/>
              </w:rPr>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4301"/>
        <w:gridCol w:w="6165"/>
      </w:tblGrid>
      <w:tr>
        <w:trPr>
          <w:cantSplit/>
          <w:tblHeader w:val="true"/>
        </w:trPr>
        <w:tc>
          <w:tcPr>
            <w:shd w:val="clear" w:color="auto" w:fill="D9E2F3"/>
            <w:tcW w:type="dxa" w:w="4301"/>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6165"/>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4301"/>
          </w:tcPr>
          <w:p>
            <w:pPr>
              <w:keepNext/>
            </w:pPr>
            <w:r/>
            <w:r>
              <w:rPr>
                <w:rFonts w:ascii="Calibri" w:hAnsi="Calibri"/>
                <w:b w:val="0"/>
                <w:i w:val="0"/>
                <w:color w:val="000000"/>
                <w:sz w:val="22"/>
              </w:rPr>
              <w:t>QASOP_0XX</w:t>
            </w:r>
            <w:r>
              <w:rPr>
                <w:rFonts w:ascii="Calibri" w:hAnsi="Calibri"/>
                <w:b w:val="0"/>
                <w:i w:val="0"/>
                <w:color w:val="000000"/>
                <w:sz w:val="14"/>
              </w:rPr>
            </w:r>
          </w:p>
        </w:tc>
        <w:tc>
          <w:tcPr>
            <w:tcW w:type="dxa" w:w="6165"/>
          </w:tcPr>
          <w:p>
            <w:pPr>
              <w:keepNext/>
            </w:pPr>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rPr>
          <w:cantSplit/>
        </w:trPr>
        <w:tc>
          <w:tcPr>
            <w:tcW w:type="dxa" w:w="4301"/>
          </w:tcPr>
          <w:p>
            <w:pPr>
              <w:keepNext/>
            </w:pPr>
            <w:r/>
            <w:r>
              <w:rPr>
                <w:rFonts w:ascii="Calibri" w:hAnsi="Calibri"/>
                <w:b w:val="0"/>
                <w:i w:val="0"/>
                <w:color w:val="000000"/>
                <w:sz w:val="22"/>
              </w:rPr>
              <w:t>WHSOP_002</w:t>
            </w:r>
            <w:r>
              <w:rPr>
                <w:rFonts w:ascii="Calibri" w:hAnsi="Calibri"/>
                <w:b w:val="0"/>
                <w:i w:val="0"/>
                <w:color w:val="000000"/>
                <w:sz w:val="14"/>
              </w:rPr>
            </w:r>
          </w:p>
        </w:tc>
        <w:tc>
          <w:tcPr>
            <w:tcW w:type="dxa" w:w="6165"/>
          </w:tcPr>
          <w:p>
            <w:pPr>
              <w:keepNext/>
            </w:pPr>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rPr>
          <w:cantSplit/>
        </w:trPr>
        <w:tc>
          <w:tcPr>
            <w:tcW w:type="dxa" w:w="4301"/>
          </w:tcPr>
          <w:p>
            <w:r/>
            <w:r>
              <w:rPr>
                <w:rFonts w:ascii="Calibri" w:hAnsi="Calibri"/>
                <w:b w:val="0"/>
                <w:i w:val="0"/>
                <w:color w:val="000000"/>
                <w:sz w:val="22"/>
              </w:rPr>
              <w:t>WHSOP 001</w:t>
            </w:r>
            <w:r>
              <w:rPr>
                <w:rFonts w:ascii="Calibri" w:hAnsi="Calibri"/>
                <w:b w:val="0"/>
                <w:i w:val="0"/>
                <w:color w:val="000000"/>
                <w:sz w:val="14"/>
              </w:rPr>
            </w:r>
          </w:p>
        </w:tc>
        <w:tc>
          <w:tcPr>
            <w:tcW w:type="dxa" w:w="6165"/>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rPr>
          <w:cantSplit/>
        </w:trPr>
        <w:tc>
          <w:tcPr>
            <w:tcW w:type="dxa" w:w="4301"/>
          </w:tcPr>
          <w:p>
            <w:r/>
            <w:r>
              <w:rPr>
                <w:rFonts w:ascii="Calibri" w:hAnsi="Calibri"/>
                <w:b w:val="0"/>
                <w:i w:val="0"/>
                <w:color w:val="000000"/>
                <w:sz w:val="22"/>
              </w:rPr>
              <w:t>PP-QC-SOP-025</w:t>
            </w:r>
            <w:r>
              <w:rPr>
                <w:rFonts w:ascii="Calibri" w:hAnsi="Calibri"/>
                <w:b w:val="0"/>
                <w:i w:val="0"/>
                <w:color w:val="000000"/>
                <w:sz w:val="14"/>
              </w:rPr>
            </w:r>
          </w:p>
        </w:tc>
        <w:tc>
          <w:tcPr>
            <w:tcW w:type="dxa" w:w="6165"/>
          </w:tcPr>
          <w:p>
            <w:r/>
            <w:r>
              <w:rPr>
                <w:rFonts w:ascii="Calibri" w:hAnsi="Calibri"/>
                <w:b w:val="0"/>
                <w:i w:val="0"/>
                <w:color w:val="000000"/>
                <w:sz w:val="22"/>
              </w:rPr>
              <w:t>Транспорт на мостри до надворешна лабораторија за контрола на квалитет</w:t>
            </w:r>
            <w:r>
              <w:rPr>
                <w:rFonts w:ascii="Calibri" w:hAnsi="Calibri"/>
                <w:b w:val="0"/>
                <w:i w:val="0"/>
                <w:color w:val="000000"/>
                <w:sz w:val="14"/>
              </w:rPr>
              <w:t xml:space="preserve"> | </w:t>
            </w:r>
            <w:r>
              <w:rPr>
                <w:rFonts w:ascii="Calibri" w:hAnsi="Calibri"/>
                <w:b w:val="0"/>
                <w:i w:val="0"/>
                <w:color w:val="000000"/>
                <w:sz w:val="14"/>
              </w:rPr>
              <w:t>Transport of Samples to an Outsourced Quality-Control Laboratory</w:t>
            </w:r>
          </w:p>
        </w:tc>
      </w:tr>
      <w:tr>
        <w:trPr>
          <w:cantSplit/>
        </w:trPr>
        <w:tc>
          <w:tcPr>
            <w:tcW w:type="dxa" w:w="4301"/>
          </w:tcPr>
          <w:p>
            <w:r/>
            <w:r>
              <w:rPr>
                <w:rFonts w:ascii="Calibri" w:hAnsi="Calibri"/>
                <w:b w:val="0"/>
                <w:i w:val="0"/>
                <w:color w:val="000000"/>
                <w:sz w:val="22"/>
              </w:rPr>
              <w:t>QAS-05-001 / QAS-05-002</w:t>
            </w:r>
            <w:r>
              <w:rPr>
                <w:rFonts w:ascii="Calibri" w:hAnsi="Calibri"/>
                <w:b w:val="0"/>
                <w:i w:val="0"/>
                <w:color w:val="000000"/>
                <w:sz w:val="14"/>
              </w:rPr>
            </w:r>
          </w:p>
        </w:tc>
        <w:tc>
          <w:tcPr>
            <w:tcW w:type="dxa" w:w="6165"/>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rPr>
          <w:cantSplit/>
        </w:trPr>
        <w:tc>
          <w:tcPr>
            <w:tcW w:type="dxa" w:w="4301"/>
          </w:tcPr>
          <w:p>
            <w:r/>
            <w:r>
              <w:rPr>
                <w:rFonts w:ascii="Calibri" w:hAnsi="Calibri"/>
                <w:b w:val="0"/>
                <w:i w:val="0"/>
                <w:color w:val="000000"/>
                <w:sz w:val="22"/>
              </w:rPr>
              <w:t>QAS-08-001</w:t>
            </w:r>
            <w:r>
              <w:rPr>
                <w:rFonts w:ascii="Calibri" w:hAnsi="Calibri"/>
                <w:b w:val="0"/>
                <w:i w:val="0"/>
                <w:color w:val="000000"/>
                <w:sz w:val="14"/>
              </w:rPr>
            </w:r>
          </w:p>
        </w:tc>
        <w:tc>
          <w:tcPr>
            <w:tcW w:type="dxa" w:w="6165"/>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4301"/>
          </w:tcPr>
          <w:p>
            <w:r/>
            <w:r>
              <w:rPr>
                <w:rFonts w:ascii="Calibri" w:hAnsi="Calibri"/>
                <w:b w:val="0"/>
                <w:i w:val="0"/>
                <w:color w:val="000000"/>
                <w:sz w:val="22"/>
              </w:rPr>
              <w:t>QAS-10-003</w:t>
            </w:r>
            <w:r>
              <w:rPr>
                <w:rFonts w:ascii="Calibri" w:hAnsi="Calibri"/>
                <w:b w:val="0"/>
                <w:i w:val="0"/>
                <w:color w:val="000000"/>
                <w:sz w:val="14"/>
              </w:rPr>
            </w:r>
          </w:p>
        </w:tc>
        <w:tc>
          <w:tcPr>
            <w:tcW w:type="dxa" w:w="6165"/>
          </w:tcPr>
          <w:p>
            <w:r/>
            <w:r>
              <w:rPr>
                <w:rFonts w:ascii="Calibri" w:hAnsi="Calibri"/>
                <w:b w:val="0"/>
                <w:i w:val="0"/>
                <w:color w:val="000000"/>
                <w:sz w:val="22"/>
              </w:rPr>
              <w:t>Квалификација на добавувачи (логери, пакување)</w:t>
            </w:r>
            <w:r>
              <w:rPr>
                <w:rFonts w:ascii="Calibri" w:hAnsi="Calibri"/>
                <w:b w:val="0"/>
                <w:i w:val="0"/>
                <w:color w:val="000000"/>
                <w:sz w:val="14"/>
              </w:rPr>
              <w:t xml:space="preserve"> | </w:t>
            </w:r>
            <w:r>
              <w:rPr>
                <w:rFonts w:ascii="Calibri" w:hAnsi="Calibri"/>
                <w:b w:val="0"/>
                <w:i w:val="0"/>
                <w:color w:val="000000"/>
                <w:sz w:val="14"/>
              </w:rPr>
              <w:t>Vendor qualification (loggers, packaging)</w:t>
            </w:r>
          </w:p>
        </w:tc>
      </w:tr>
      <w:tr>
        <w:trPr>
          <w:cantSplit/>
        </w:trPr>
        <w:tc>
          <w:tcPr>
            <w:tcW w:type="dxa" w:w="4301"/>
          </w:tcPr>
          <w:p>
            <w:r/>
            <w:r>
              <w:rPr>
                <w:rFonts w:ascii="Calibri" w:hAnsi="Calibri"/>
                <w:b w:val="0"/>
                <w:i w:val="0"/>
                <w:color w:val="000000"/>
                <w:sz w:val="22"/>
              </w:rPr>
              <w:t>PRO-05-001</w:t>
            </w:r>
            <w:r>
              <w:rPr>
                <w:rFonts w:ascii="Calibri" w:hAnsi="Calibri"/>
                <w:b w:val="0"/>
                <w:i w:val="0"/>
                <w:color w:val="000000"/>
                <w:sz w:val="14"/>
              </w:rPr>
            </w:r>
          </w:p>
        </w:tc>
        <w:tc>
          <w:tcPr>
            <w:tcW w:type="dxa" w:w="6165"/>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bl>
    <w:p>
      <w:pPr>
        <w:keepNext/>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пропагационен материјал, отпад) со договорен превозник под полициско придружување од МВР, со палети и систем на хартија; заменува ги соодветните делови на PRO-06-001 и LO_SOP_006. Транспортот на мостри за КК не е опфатен (PP-QC-SOP-025).</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propagation material, waste) by a contracted carrier under MoIA police escort, palletised and paper-based; supersedes the relevant sections of PRO-06-001 and LO_SOP_006. QC sample transport is not covered (PP-QC-SOP-025).</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