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963" w:hRule="auto" w:wrap="none" w:vAnchor="page" w:hAnchor="page" w:x="294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SCRAMBLER</w:t>
      </w:r>
    </w:p>
    <w:p>
      <w:pPr>
        <w:framePr w:w="1684" w:hRule="auto" w:wrap="none" w:vAnchor="page" w:hAnchor="page" w:x="637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18.00%</w:t>
      </w:r>
    </w:p>
    <w:p>
      <w:pPr>
        <w:framePr w:w="152" w:hRule="auto" w:wrap="none" w:vAnchor="page" w:hAnchor="page" w:x="8117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22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SCR_THC18 : CBD1</w:t>
      </w:r>
    </w:p>
    <w:p>
      <w:pPr>
        <w:framePr w:w="1676" w:hRule="auto" w:wrap="none" w:vAnchor="page" w:hAnchor="page" w:x="55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16.20 – 19.79 %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QCSP_001_SCR-II_v.01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1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1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