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60"/>
        <w:jc w:val="center"/>
      </w:pPr>
      <w:r>
        <w:rPr>
          <w:rFonts w:ascii="Calibri" w:hAnsi="Calibri"/>
          <w:b/>
          <w:i w:val="0"/>
          <w:color w:val="2B547E"/>
          <w:sz w:val="24"/>
        </w:rPr>
        <w:t>QASOP_0XX_A01</w:t>
      </w:r>
    </w:p>
    <w:p>
      <w:pPr>
        <w:spacing w:before="0" w:after="60"/>
        <w:jc w:val="center"/>
      </w:pPr>
      <w:r>
        <w:rPr>
          <w:rFonts w:ascii="Calibri" w:hAnsi="Calibri"/>
          <w:b/>
          <w:i w:val="0"/>
          <w:color w:val="000000"/>
          <w:sz w:val="28"/>
        </w:rPr>
        <w:t>План за валидација и процена на ризик на транспортна рута</w:t>
      </w:r>
      <w:r>
        <w:rPr>
          <w:rFonts w:ascii="Calibri" w:hAnsi="Calibri"/>
          <w:b w:val="0"/>
          <w:i w:val="0"/>
          <w:color w:val="595959"/>
          <w:sz w:val="20"/>
        </w:rPr>
        <w:t xml:space="preserve"> | </w:t>
      </w:r>
      <w:r>
        <w:rPr>
          <w:rFonts w:ascii="Calibri" w:hAnsi="Calibri"/>
          <w:b/>
          <w:i w:val="0"/>
          <w:color w:val="595959"/>
          <w:sz w:val="20"/>
        </w:rPr>
        <w:t>Lane Validation Plan and Risk Assessment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595959"/>
          <w:sz w:val="20"/>
        </w:rPr>
        <w:t>(QASOP_0XX)</w:t>
      </w:r>
    </w:p>
    <w:p>
      <w:pPr>
        <w:spacing w:before="0" w:after="160"/>
        <w:jc w:val="center"/>
      </w:pPr>
      <w:r>
        <w:rPr>
          <w:rFonts w:ascii="Calibri" w:hAnsi="Calibri"/>
          <w:b/>
          <w:i w:val="0"/>
          <w:color w:val="C00000"/>
          <w:sz w:val="18"/>
        </w:rPr>
        <w:t>РАБОТНА ВЕРЗИЈА — НЕ ЗА УПОТРЕБА | DRAFT — NOT FOR USE</w:t>
      </w:r>
      <w:r>
        <w:rPr>
          <w:rFonts w:ascii="Calibri" w:hAnsi="Calibri"/>
          <w:b w:val="0"/>
          <w:i w:val="0"/>
          <w:color w:val="595959"/>
          <w:sz w:val="16"/>
        </w:rPr>
        <w:t xml:space="preserve">   —   Верзија | Version: DRAFT   ·   Датум на важност | Effective date: —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0466"/>
      </w:tblGrid>
      <w:tr>
        <w:tc>
          <w:tcPr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1 Идентификација на рутата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>Lane identification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109"/>
        <w:gridCol w:w="2534"/>
        <w:gridCol w:w="3288"/>
        <w:gridCol w:w="2534"/>
      </w:tblGrid>
      <w:tr>
        <w:tc>
          <w:tcPr>
            <w:shd w:val="clear" w:color="auto" w:fill="F2F2F2"/>
            <w:vAlign w:val="center"/>
            <w:tcW w:type="pct" w:w="100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Код на рутата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Lane code</w:t>
            </w:r>
          </w:p>
        </w:tc>
        <w:tc>
          <w:tcPr>
            <w:vAlign w:val="center"/>
            <w:tcW w:type="pct" w:w="12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L__</w:t>
            </w:r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Број на проект за валидација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Validation project No.</w:t>
            </w:r>
          </w:p>
        </w:tc>
        <w:tc>
          <w:tcPr>
            <w:vAlign w:val="center"/>
            <w:tcW w:type="pct" w:w="12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TVP-___-__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789"/>
        <w:gridCol w:w="7677"/>
      </w:tblGrid>
      <w:tr>
        <w:tc>
          <w:tcPr>
            <w:shd w:val="clear" w:color="auto" w:fill="F2F2F2"/>
            <w:vAlign w:val="center"/>
            <w:tcW w:type="pct" w:w="133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Место на испраќање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Dispatch point</w:t>
            </w:r>
          </w:p>
        </w:tc>
        <w:tc>
          <w:tcPr>
            <w:vAlign w:val="center"/>
            <w:tcW w:type="pct" w:w="36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Којлија 1043, Петровец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Kojlija 1043, Petrovec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245"/>
        <w:gridCol w:w="2783"/>
        <w:gridCol w:w="2653"/>
        <w:gridCol w:w="2783"/>
      </w:tblGrid>
      <w:tr>
        <w:tc>
          <w:tcPr>
            <w:shd w:val="clear" w:color="auto" w:fill="F2F2F2"/>
            <w:vAlign w:val="center"/>
            <w:tcW w:type="pct" w:w="107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Место на прием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Receipt point</w:t>
            </w:r>
          </w:p>
        </w:tc>
        <w:tc>
          <w:tcPr>
            <w:vAlign w:val="center"/>
            <w:tcW w:type="pct" w:w="132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26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Опис на патеката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Route description</w:t>
            </w:r>
          </w:p>
        </w:tc>
        <w:tc>
          <w:tcPr>
            <w:vAlign w:val="center"/>
            <w:tcW w:type="pct" w:w="1329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381"/>
        <w:gridCol w:w="2398"/>
        <w:gridCol w:w="3288"/>
        <w:gridCol w:w="2398"/>
      </w:tblGrid>
      <w:tr>
        <w:tc>
          <w:tcPr>
            <w:shd w:val="clear" w:color="auto" w:fill="F2F2F2"/>
            <w:vAlign w:val="center"/>
            <w:tcW w:type="pct" w:w="113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Растојание (km)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Distance (km)</w:t>
            </w:r>
          </w:p>
        </w:tc>
        <w:tc>
          <w:tcPr>
            <w:vAlign w:val="center"/>
            <w:tcW w:type="pct" w:w="114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Нормално времетраење (h:min)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Normal duration (h:min)</w:t>
            </w:r>
          </w:p>
        </w:tc>
        <w:tc>
          <w:tcPr>
            <w:vAlign w:val="center"/>
            <w:tcW w:type="pct" w:w="1145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2806"/>
        <w:gridCol w:w="1564"/>
        <w:gridCol w:w="2806"/>
      </w:tblGrid>
      <w:t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Максимално времетраење со застои (h:min)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Maximum duration with delays (h:min)</w:t>
            </w:r>
          </w:p>
        </w:tc>
        <w:tc>
          <w:tcPr>
            <w:vAlign w:val="center"/>
            <w:tcW w:type="pct" w:w="134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74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Превозник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Carrier</w:t>
            </w:r>
          </w:p>
        </w:tc>
        <w:tc>
          <w:tcPr>
            <w:vAlign w:val="center"/>
            <w:tcW w:type="pct" w:w="1340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Возило / пакување (идентификација)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Vehicle / packaging (identification)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0466"/>
      </w:tblGrid>
      <w:tr>
        <w:tc>
          <w:tcPr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2 Материјал и опсег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>Material and range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23"/>
        <w:gridCol w:w="4467"/>
        <w:gridCol w:w="283"/>
        <w:gridCol w:w="623"/>
        <w:gridCol w:w="4467"/>
      </w:tblGrid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Готов производ / меѓупроизвод (15–25 °C, RH ≤ 60 %)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Finished product / intermediate (15–25 °C, RH ≤ 60 %)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Семе (5–20 °C)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Seeds (5–20 °C)</w:t>
            </w:r>
          </w:p>
        </w:tc>
      </w:tr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Клонови (+2 до +8 °C)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Clones (+2 to +8 °C)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944"/>
        <w:gridCol w:w="3288"/>
        <w:gridCol w:w="1944"/>
      </w:tblGrid>
      <w:t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Максимален товар (kg / број на кутии)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Maximum load (kg / boxes)</w:t>
            </w:r>
          </w:p>
        </w:tc>
        <w:tc>
          <w:tcPr>
            <w:vAlign w:val="center"/>
            <w:tcW w:type="pct" w:w="92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Термичка маса на симулираниот товар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Thermal mass of the simulated load</w:t>
            </w:r>
          </w:p>
        </w:tc>
        <w:tc>
          <w:tcPr>
            <w:vAlign w:val="center"/>
            <w:tcW w:type="pct" w:w="929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944"/>
        <w:gridCol w:w="3288"/>
        <w:gridCol w:w="1944"/>
      </w:tblGrid>
      <w:t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Летен амбиентен екстрем (°C)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Summer ambient extreme (°C)</w:t>
            </w:r>
          </w:p>
        </w:tc>
        <w:tc>
          <w:tcPr>
            <w:vAlign w:val="center"/>
            <w:tcW w:type="pct" w:w="92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Зимски амбиентен екстрем (°C)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Winter ambient extreme (°C)</w:t>
            </w:r>
          </w:p>
        </w:tc>
        <w:tc>
          <w:tcPr>
            <w:vAlign w:val="center"/>
            <w:tcW w:type="pct" w:w="929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Извор на климатските податоци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Source of climate data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0466"/>
      </w:tblGrid>
      <w:tr>
        <w:tc>
          <w:tcPr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3 Процена на ризик (FMEA)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>Risk assessment (FMEA)</w:t>
            </w:r>
          </w:p>
        </w:tc>
      </w:tr>
    </w:tbl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Оценка 1–5 за веројатност (В), последица (П) и откривање (О); RPN = В × П × О. RPN ≥ 40 мора да се покрие со тест во OQ/PQ или со мерка; RPN ≥ 80 бара образложение одобрено од QA пред протоколот.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Scores 1–5 for likelihood (L), severity (S) and detectability (D); RPN = L × S × D. RPN ≥ 40 must be covered by an OQ/PQ test or a control; RPN ≥ 80 requires a QA-approved justification before the protocol.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10"/>
        <w:gridCol w:w="2638"/>
        <w:gridCol w:w="2638"/>
        <w:gridCol w:w="510"/>
        <w:gridCol w:w="510"/>
        <w:gridCol w:w="510"/>
        <w:gridCol w:w="510"/>
        <w:gridCol w:w="2638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Режим на откажување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Failure mode</w:t>
            </w:r>
          </w:p>
        </w:tc>
        <w:tc>
          <w:tcPr>
            <w:shd w:val="clear" w:color="auto" w:fill="2B547E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Ефект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Effect</w:t>
            </w:r>
          </w:p>
        </w:tc>
        <w:tc>
          <w:tcPr>
            <w:shd w:val="clear" w:color="auto" w:fill="2B547E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L</w:t>
            </w:r>
          </w:p>
        </w:tc>
        <w:tc>
          <w:tcPr>
            <w:shd w:val="clear" w:color="auto" w:fill="2B547E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</w:t>
            </w:r>
          </w:p>
        </w:tc>
        <w:tc>
          <w:tcPr>
            <w:shd w:val="clear" w:color="auto" w:fill="2B547E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</w:t>
            </w:r>
          </w:p>
        </w:tc>
        <w:tc>
          <w:tcPr>
            <w:shd w:val="clear" w:color="auto" w:fill="2B547E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RPN</w:t>
            </w:r>
          </w:p>
        </w:tc>
        <w:tc>
          <w:tcPr>
            <w:shd w:val="clear" w:color="auto" w:fill="2B547E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Тест / мерка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Test / control</w:t>
            </w:r>
          </w:p>
        </w:tc>
      </w:tr>
      <w:t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Дефект на климатизацијата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Climate-control failure</w:t>
            </w:r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температура надвор од опсег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temperature out of range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 прекин на напојување (време на задржување)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OQ power interruption (hold time)</w:t>
            </w:r>
          </w:p>
        </w:tc>
      </w:tr>
      <w:t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Нерамномерна распределба во товарниот простор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Uneven distribution in the load space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локална екскурзија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local excursion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 мапирање 9+ точки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OQ mapping 9+ points</w:t>
            </w:r>
          </w:p>
        </w:tc>
      </w:tr>
      <w:t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Отворање на вратата при прием/предавање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Door opening at receipt/hand-over</w:t>
            </w:r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краток пик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short peak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 тест врата 2 × 5 мин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OQ door test 2 × 5 min</w:t>
            </w:r>
          </w:p>
        </w:tc>
      </w:tr>
      <w:t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Летен екстрем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Summer extreme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прегревање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overheating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летно мапирање и летна PQ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summer mapping and summer PQ</w:t>
            </w:r>
          </w:p>
        </w:tc>
      </w:tr>
      <w:t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Зимски екстрем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Winter extreme</w:t>
            </w:r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поладување / кондензација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undercooling / condensation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зимско мапирање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winter mapping</w:t>
            </w:r>
          </w:p>
        </w:tc>
      </w:tr>
      <w:t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Сообраќаен застој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Traffic delay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подолго време надвор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longer exposure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 ≥ 125 % од максималното времетраење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OQ ≥ 125 % of maximum duration</w:t>
            </w:r>
          </w:p>
        </w:tc>
      </w:tr>
      <w:t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</w:t>
            </w:r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Неправилна позиција на логерот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Wrong logger position</w:t>
            </w:r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неоткриена екскурзија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undetected excursion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позиција на жешка/студена точка од OQ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hot/cold spot position from OQ</w:t>
            </w:r>
          </w:p>
        </w:tc>
      </w:tr>
      <w:t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Дефект / некалибриран логер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Logger failure / out of calibration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загубени податоци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data lost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калибрација пред и после; резервен логер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calibration before and after; backup logger</w:t>
            </w:r>
          </w:p>
        </w:tc>
      </w:tr>
      <w:t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9</w:t>
            </w:r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Влага во пакувањето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Moisture in packaging</w:t>
            </w:r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RH &gt; 60 %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логер за RH, херметично пакување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RH logger, airtight packaging</w:t>
            </w:r>
          </w:p>
        </w:tc>
      </w:tr>
      <w:t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10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Друго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Other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0466"/>
      </w:tblGrid>
      <w:tr>
        <w:tc>
          <w:tcPr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4 Стратегија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>Strategy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23"/>
        <w:gridCol w:w="4467"/>
        <w:gridCol w:w="283"/>
        <w:gridCol w:w="623"/>
        <w:gridCol w:w="4467"/>
      </w:tblGrid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Целосна OQ + PQ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Full OQ + PQ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Реквалификација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Requalification</w:t>
            </w:r>
          </w:p>
        </w:tc>
      </w:tr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Само PQ (групирање со рута ___)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PQ only (bracketed with lane ___)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676"/>
        <w:gridCol w:w="6790"/>
      </w:tblGrid>
      <w:tr>
        <w:tc>
          <w:tcPr>
            <w:shd w:val="clear" w:color="auto" w:fill="F2F2F2"/>
            <w:vAlign w:val="center"/>
            <w:tcW w:type="dxa" w:w="3676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Образложение за групирање / обем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Justification for bracketing / scope</w:t>
            </w:r>
          </w:p>
        </w:tc>
        <w:tc>
          <w:tcPr>
            <w:vAlign w:val="center"/>
            <w:tcW w:type="dxa" w:w="6790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gridSpan w:val="2"/>
            <w:shd w:val="clear" w:color="auto" w:fill="F2F2F2"/>
            <w:tcW w:type="dxa" w:w="10466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Тестови во OQ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OQ tests</w:t>
            </w:r>
          </w:p>
          <w:p>
            <w:pPr>
              <w:spacing w:before="20" w:after="40"/>
              <w:jc w:val="both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празно, полно (≥ 125 % времетраење), врата 2 × 5 мин, прекин на напојување, летно и зимско мапирање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 | 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empty, loaded (≥ 125 % duration), door 2 × 5 min, power interruption, summer and winter mapping</w:t>
            </w:r>
          </w:p>
        </w:tc>
      </w:tr>
      <w:tr>
        <w:tc>
          <w:tcPr>
            <w:shd w:val="clear" w:color="auto" w:fill="F2F2F2"/>
            <w:vAlign w:val="center"/>
            <w:tcW w:type="dxa" w:w="3676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Број на PQ пратки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Number of PQ shipments</w:t>
            </w:r>
          </w:p>
        </w:tc>
        <w:tc>
          <w:tcPr>
            <w:vAlign w:val="center"/>
            <w:tcW w:type="dxa" w:w="67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3 последователни, барем 1 во сезоната на најлош случај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3 consecutive, at least 1 in the worst-case season</w:t>
            </w:r>
          </w:p>
        </w:tc>
      </w:tr>
      <w:tr>
        <w:tc>
          <w:tcPr>
            <w:shd w:val="clear" w:color="auto" w:fill="F2F2F2"/>
            <w:vAlign w:val="center"/>
            <w:tcW w:type="dxa" w:w="3676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Планиран почеток и крај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Planned start and end</w:t>
            </w:r>
          </w:p>
        </w:tc>
        <w:tc>
          <w:tcPr>
            <w:vAlign w:val="center"/>
            <w:tcW w:type="dxa" w:w="6790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3676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Членови на тимот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Team members</w:t>
            </w:r>
          </w:p>
        </w:tc>
        <w:tc>
          <w:tcPr>
            <w:vAlign w:val="center"/>
            <w:tcW w:type="dxa" w:w="6790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0466"/>
      </w:tblGrid>
      <w:tr>
        <w:tc>
          <w:tcPr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5 Одобрување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>Approval</w:t>
            </w:r>
          </w:p>
        </w:tc>
      </w:tr>
    </w:tbl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889"/>
        <w:gridCol w:w="2948"/>
        <w:gridCol w:w="1474"/>
        <w:gridCol w:w="2154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c>
          <w:tcPr>
            <w:shd w:val="clear" w:color="auto" w:fill="F2F2F2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Изготвил (тим за валидација)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Prepared (validation team)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Прегледал (Логистика / Обезбедување)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Reviewed (Logistics / Security)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Одобрил (QA)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Approved (QA)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</w:tbl>
    <w:sectPr w:rsidR="00433AE1" w:rsidRPr="00E10D5A" w:rsidSect="00522430"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План за валидација и процена на ризик на транспортна рута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Lane Validation Plan and Risk Assessment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19"/>
              <w:szCs w:val="24"/>
            </w:rPr>
            <w:t>QASOP_0XX_A01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