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(77 серии, 20 сорти) + 8 употребливи резултати од студијата на стабилност (1 ред одбиен како дефектен)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register results (77 batches, 20 strains) + 8 usable stability results (1 row rejected as defective)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и 8 употребливи резултати од студијата на стабилност за Grape Pie — и врз нив предлага нови опсези по класи за залихата од Траншите 1, 2 и 3. | This study brings every Total Δ⁹-THC result ever tested into one place — 99 certificate-register results (77 batches, 20 strains) plus 8 usable Grape Pie stability results — and proposes new grade ranges for the Tranche 1/2/3 stock on top of them.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20"/>
          <w:spacing w:val="0"/>
          <w:kern w:val="0"/>
        </w:rPr>
        <w:t>Клучни наоди | Key findings: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 складишни услови (25°C/60%RH) стабилносните резултати НЕ покажуваат опаѓање на Вкупен Δ⁹-THC во текот на 3–9 месеци — движењата се во рамки на варијансата од земање мостри и мерење. | At warehouse conditions (25°C/60%RH) the stability results show NO Total Δ⁹-THC decline over 3–9 months — movements sit inside sampling/measurement variance.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Топлината, а не времето, е вистинскиот двигател на загубата: забрзаните краци на 40°C/75%RH паѓаат на 13,16–17,05% со CBN од 2,05–2,35%. | Heat, not time, drives the loss: the 40°C/75%RH accelerated arms collapse to 13.16–17.05% with CBN at 2.05–2.35%.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Најголемиот ризик серијата да „испадне“ од класата не е деградацијата, туку варијансата меѓу мерења (±1,5–2,5%) — новите опсези мора да ја впијат и неа. | The biggest risk of a batch falling out of grade is not degradation but between-measurement variance (±1.5–2.5%) — the new ranges must absorb it too.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Предложените опсези гарантираат: и денешно повторно мерење, и мерење по уште една година складирање, остануваат внатре во декларираната класа и внатре во критериумите за прифатливост. | The proposed ranges guarantee: a remeasure today, or after a further year of storage, still reads inside the declared grade and inside the acceptance criteria.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present; 9 stability rows recovered and attributed (3 P-codes → GP batches via the eCoA register). Дефектниот ред од ППК26037 (18,62 — неуспешна масена рамнотежа, обележан во изворот како PP-QC-ERR-002) е задржан во податоците, но исклучен од секоја статистика. | Corpus compiled from the eCoA register and live-verified against the Letta knowledgebase: 4,134 passages scanned live (ImB_QC_COAs); 176 unique Total-THC lines; all 99 register values present; 9 stability rows recovered and attributed (3 P-codes → GP batches via the eCoA register). The defective ППК26037 row (18.62 — failed mass balance, flagged PP-QC-ERR-002 in the source) is retained in the data but excluded from all statistics.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  <w:tr>
        <w:tc>
          <w:tcPr>
            <w:tcW w:type="dxa" w:w="340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Студија на стабилност (Grape Pie) | Stability study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487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ППК26032–26037 + ППК26057–26059; 8 употребливи + 1 дефектен | 8 usable + 1 defective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Вкупно во студијата | Total in study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107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стабилносните 40°C краци се доказ за деградација, не состојба на залиха | 40°C arms are degradation evidence, not inventory state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ДОКАЗИ ЗА ДЕГРАДАЦИЈА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Degradation Evidence</w:t>
      </w:r>
    </w:p>
    <w:p>
      <w:pPr>
        <w:spacing w:before="4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Студија на стабилност (Grape Pie, UKIM-CNP; серии P050022=GP0824_02, P050072=GP0824_03, P050202=GP062501): | Stability study (Grape Pie, UKIM-CNP):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Сертификат | Report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Крак | Arm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Месец | Month</w:t>
            </w:r>
          </w:p>
        </w:tc>
        <w:tc>
          <w:tcPr>
            <w:tcW w:type="dxa" w:w="124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Вкупен THC %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CBN %</w:t>
            </w:r>
          </w:p>
        </w:tc>
        <w:tc>
          <w:tcPr>
            <w:tcW w:type="dxa" w:w="272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Статус | Status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13.16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24.62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ППК26035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14.99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ППК26036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22.83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ППК26037</w:t>
            </w:r>
          </w:p>
        </w:tc>
        <w:tc>
          <w:tcPr>
            <w:tcW w:type="dxa" w:w="1474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18.62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  <w:tc>
          <w:tcPr>
            <w:tcW w:type="dxa" w:w="272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ОДБИЕН | REJECTED: PP-QC-ERR-002: mass balance fails (1.09 + 0.877×18.47 = 17.29 ≠ 18.62) — source says DO NOT USE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ППК26057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ППК26058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17.05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ППК26059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M9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23.08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0.30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</w:tbl>
    <w:p>
      <w:pPr>
        <w:spacing w:before="16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Повторени мерења на исти серии (иста лабораторија): | Repeat same-lab measurements: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Прво | First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Второ | Second</w:t>
            </w:r>
          </w:p>
        </w:tc>
        <w:tc>
          <w:tcPr>
            <w:tcW w:type="dxa" w:w="79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Δ</w:t>
            </w:r>
          </w:p>
        </w:tc>
        <w:tc>
          <w:tcPr>
            <w:tcW w:type="dxa" w:w="215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19.14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-1.82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8.09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-0.18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25.27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-5.06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1-month interval — sampling heterogeneity, not degradation</w:t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19.84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+2.00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same-day duplicate certificates — pure sampling spread</w:t>
            </w:r>
          </w:p>
        </w:tc>
      </w:tr>
    </w:tbl>
    <w:p>
      <w:pPr>
        <w:spacing w:before="12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Empirical basis: 25°C/60%RH stability arms show NO monotonic Total-THC decline over 3–9 months (22.83→24.51; 21.31→23.08 — movement within sampling/measurement variance); 40°C/75%RH arms collapse to 13.16–17.05% with CBN 2.05–2.35% (heat, not time, drives loss). Same-lab repeat pairs: J31102501 19.14→17.32 over 5 months (−1.82, ≤ combined U of the two measurements); OPM122501 8.09→7.91 over 4 months (−0.18). Cross-lab intake-vs-retest deltas scatter −3.1…+4.3 around ≈0 — inter-lab/sampling variance dominates any age effect. D = 1.5 %abs/year is therefore a CONSERVATIVE allowance, larger than any evidenced 12-month decline at warehouse conditions.</w:t>
      </w:r>
    </w:p>
    <w:p>
      <w:pPr>
        <w:spacing w:before="8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Заклучок: усвојуваме конзервативен додаток за деградација D = 1,5 %апс./година — поголем од секое докажано 12-месечно опаѓање на складишни услови. | Conclusion: we adopt a conservative degradation allowance D = 1.5 %abs/year — larger than any evidenced 12-month decline at warehouse conditions.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МЕТОДОЛОГИЈА НА ОПСЕЗИТЕ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Range Methodology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Досегашна методологија | Methodology to date: QCSP 001 standard 4-tier fixed brackets: I 27.00–30.00 · II 23.00–26.90 · III 16.00–22.90 · IV 5.00–15.90 (nominal = midpoint); custom narrower sets for several renamed strains; T1 files graded from the Aug-2026 retest values, T1_rename graded from Portfolio-Master intake values (intentionally different, per owner). Weakness for ageing stock: brackets are fixed and grade-boundary batches can flip out of grade on any remeasure or with modest degradation — the bracket encodes no downward headroom for a specific batch.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Нова методологија (оваа студија) | New methodology (this study):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Сидро по серија = најновиот верификуван резултат (ретест каде постои). | Per-batch anchor = the most recent verified result (retest where one exists).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Потребен опсег: долна граница = сидро − D − U(сидро), никогаш под 5,00% (критериум за прифатливост при ослободување); горна граница = сидро + max(1,0, U(сидро)). | Required window: lower = anchor − D − U(anchor), never below 5.00% (the release acceptance floor); upper = anchor + max(1.0, U(anchor)).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Класите по сорта се групираат лакомо по растечки сидра врз основа на потребниот опсег, со максимална ширина 6,5 процентни поени; класите СМЕЕ да се преклопуваат — серијата се класира поединечно, а дисјунктни класи би го вратиле стариот проблем со прелевање на границите. | Per-strain tiers are greedily clustered on ascending anchors over the required window, max width 6.5 points; tiers MAY overlap — batches are graded individually, and forcing disjoint tiers would recreate the old boundary-flip problem.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Потребниот опсег потоа се ДЕКЛАРИРА како НОМИНАЛА ± ТОЛЕРАНЦИЈА: номиналата е секогаш цел број (18,00%, никогаш 18,50%) — истата форма во која важечките QCSP 001 спецификации веќе ја запишуваат потенцијата, но со цел-број номинала. Толеранцијата е минимумот потребен за номинала ± толеранција да го покрие целиот потребен опсег, заокружена нагоре на следните 0,01 — заокружувањето е секогаш нанадвор. Секоја серија ја носи декларацијата на својата класа — никогаш посебна бројка. | The required window is then DECLARED as NOMINAL ± TOLERANCE: the nominal is always a whole number (18.00%, never 18.50%) — the same form the issued QCSP 001 specifications already use to record potency, but with a whole-number nominal. The tolerance is the minimum needed for nominal ± tolerance to cover the entire required window, rounded up to the next 0.01 — always outward. Every batch carries its tier's declaration — never a separate figure.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U = мерна неодреденост ≈ 6,2% од вредноста (k=2, како на самите сертификати); D = 1,5 %апс./година (Поглавје 4). | U = measurement uncertainty ≈ 6.2% of value (k=2, as stated on the certificates); D = 1.5 %abs/year (Chapter 4).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Оска 0–35%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За Grape Pie: стабилносни точки — квадрати 25°C, триаголници 40°C. | 0–35% axis; each result carries a ±1.5% zone (blue bands — stacking is visual density); distribution curve for n≥3; mean (gold line) and 95% CI (gold zone); proposed W-x tiers (green); old standard boundaries (dashed). Grape Pie also shows the stability points — squares 25°C, triangles 40°C.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1.98%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14.02 – 17.98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2.77%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22.23 – 27.77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2.38%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17.62 – 22.38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3.54%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20.46 – 27.54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23.42, 25.01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1.93%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12.07 – 15.93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2.35%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15.65 – 20.35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3.33%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– 25.33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21.51, 22.30, 23.00, 23.70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21.05 – 26.95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CJ052501/01, CJ082501/1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2.35%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9.65 – 14.35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1.93%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15.07 – 18.93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1.98%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6.02 – 9.98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2.74%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12.26 – 17.74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3.35%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15.65 – 22.35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18.29, 18.86, 20.83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2.99%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11.01 – 16.99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GG012601, GG1024_02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13.34, 15.35, 15.95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– 19.84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3.67%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12.33 – 19.67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GP082501/2, GP052501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15.70, 18.52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2.92%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17.08 – 22.92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19.81, 21.29, 21.36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19.70 – 24.30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3.16%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– 28.16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1.89%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5.11 – 8.89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9.31 – 12.69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2.27%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14.73 – 19.27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17.05 – 22.95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2.75%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– 17.75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3.47%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15.53 – 22.47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2.26%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14.74 – 19.26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3.20%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16.80 – 23.20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20.21, 21.84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2.10%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13.90 – 18.10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 – 19.83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2.43%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5.57 – 10.43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OPM112501, OPM092501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7.91, 8.00, 9.43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3.22%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11.78 – 18.22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OMP1024_01, OPM1024_03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14.16, 15.38, 16.55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3.28%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14.72 – 21.28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OPM1024_02, 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18.04, 20.03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3.33%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7.67 – 14.33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PM072501, PM092501, 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10.01, 12.25, 13.33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2.44%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14.56 – 19.44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2.28%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18.72 – 23.28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2.88%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7.12 – 12.88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SJ092501, SJ102501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9.20, 10.96, 11.20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2.49%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18.51 – 23.49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7.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Просторот надолу е гаранцијата против деградација и мерна варијанса. | Anchor = latest verified result; where no certificate exists the declared value is the basis (flagged). The downward headroom is the guarantee against degradation and measurement variance.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2.77%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3.91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3.54%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4.55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2.35%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1.93%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4.51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3.67%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3.67%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2.27%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4.56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3.47%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4.79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2.26%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3.28%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3.28%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2.43%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3.33%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4.58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2.44%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1.91%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2.38%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3.33%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3.91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3.33%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1.83%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1.98%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2.74%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2.99%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2.92%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3.16%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2.92%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3.16%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2.75%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4.46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3.47%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2.75%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3.22%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2.43%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3.22%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4.77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3.33%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1.84%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2.44%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2.88%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1.98%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3.54%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1.93%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3.33%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3.33%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2.35%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5.18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2.74%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2.99%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4.34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2.99%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3.16%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2.92%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1.89%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3.47%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3.20%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3.20%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2.83%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4.50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3.22%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2.43%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3.33%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2.44%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2.28%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2.88%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2.88%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2.42%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3.60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8.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0–35%: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0–35%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