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  <w:spacing w:val="0"/>
          <w:kern w:val="0"/>
        </w:rPr>
        <w:t>Аналитичка студија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  <w:spacing w:val="0"/>
          <w:kern w:val="0"/>
        </w:rPr>
        <w:t>Analytical study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  <w:spacing w:val="0"/>
          <w:kern w:val="0"/>
        </w:rPr>
        <w:t>Студија на потенца по сорти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  <w:spacing w:val="0"/>
          <w:kern w:val="0"/>
        </w:rPr>
        <w:t>Strain Potency Study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  <w:spacing w:val="0"/>
          <w:kern w:val="0"/>
        </w:rPr>
        <w:t>КК</w:t>
      </w:r>
      <w:r>
        <w:rPr>
          <w:rFonts w:ascii="Calibri" w:hAnsi="Calibri"/>
          <w:b w:val="0"/>
          <w:i w:val="0"/>
          <w:color w:val="595959"/>
          <w:sz w:val="20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  <w:spacing w:val="0"/>
          <w:kern w:val="0"/>
        </w:rPr>
        <w:t>Quality Control</w:t>
      </w:r>
    </w:p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Опфат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Scope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Сите некогаш тестирани резултати за Вкупен Δ⁹-THC, за сите серии, по сорта + предлог за нови опсези по класи за залихата од Транша 1/2/3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Every Total Δ⁹-THC result ever tested, all batches, per strain + proposed new grade ranges for the T1/T2/T3 stock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Корпус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Corpus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99 резултати од регистарот (77 серии, 20 сорти) + 8 употребливи резултати од студијата на стабилност (1 ред одбиен како дефектен)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99 register results (77 batches, 20 strains) + 8 usable stability results (1 row rejected as defective)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Верификација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Verification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Жива проверка на Letta-базата: 4.134 пасуси скенирани, сите вредности потврдени на изворниот систем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Live Letta knowledgebase sweep: 4,134 passages scanned, all values confirmed on the source system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2B547E"/>
                <w:sz w:val="20"/>
                <w:spacing w:val="0"/>
                <w:kern w:val="0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  <w:spacing w:val="0"/>
                <w:kern w:val="0"/>
              </w:rPr>
              <w:t>Status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Неформална работна анализа; меродавни остануваат лабораториските сертификати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Informal working analysis; the laboratory certificates remain authoritative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  <w:spacing w:val="0"/>
          <w:kern w:val="0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/>
                <w:i w:val="0"/>
                <w:color w:val="FFFFFF"/>
                <w:sz w:val="20"/>
                <w:spacing w:val="0"/>
                <w:kern w:val="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  <w:spacing w:val="0"/>
                <w:kern w:val="0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Prepared (QC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Reviewed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  <w:spacing w:val="0"/>
                <w:kern w:val="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  <w:spacing w:val="0"/>
                <w:kern w:val="0"/>
              </w:rPr>
              <w:t>Approved (QC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  <w:spacing w:val="0"/>
                <w:kern w:val="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>
              <w:rPr>
                <w:spacing w:val="0"/>
                <w:kern w:val="0"/>
              </w:rPr>
            </w:r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  <w:spacing w:val="0"/>
          <w:kern w:val="0"/>
        </w:rPr>
        <w:t>Неформален работен документ — не е контролиран запис | Informal working document — not a controlled record</w:t>
      </w:r>
    </w:p>
    <w:p>
      <w:r>
        <w:rPr>
          <w:spacing w:val="0"/>
          <w:kern w:val="0"/>
        </w:rPr>
        <w:br w:type="page"/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1.  РЕЗИМЕ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Executive Summary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21"/>
          <w:spacing w:val="0"/>
          <w:kern w:val="0"/>
        </w:rPr>
        <w:t>Оваа студија ги собира на едно место сите резултати за Вкупен Δ⁹-THC што некогаш се тестирани за нашите серии — 99 резултати од регистарот на сертификати (77 серии, 20 сорти) и 8 употребливи резултати од студијата на стабилност за Grape Pie — и врз нив предлага нови опсези по класи за залихата од Траншите 1, 2 и 3. | This study brings every Total Δ⁹-THC result ever tested into one place — 99 certificate-register results (77 batches, 20 strains) plus 8 usable Grape Pie stability results — and proposes new grade ranges for the Tranche 1/2/3 stock on top of them.</w:t>
      </w:r>
    </w:p>
    <w:p>
      <w:pPr>
        <w:spacing w:before="12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20"/>
          <w:spacing w:val="0"/>
          <w:kern w:val="0"/>
        </w:rPr>
        <w:t>Клучни наоди | Key findings: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На складишни услови (25°C/60%RH) стабилносните резултати НЕ покажуваат опаѓање на Вкупен Δ⁹-THC во текот на 3–9 месеци — движењата се во рамки на варијансата од земање мостри и мерење. | At warehouse conditions (25°C/60%RH) the stability results show NO Total Δ⁹-THC decline over 3–9 months — movements sit inside sampling/measurement variance.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Топлината, а не времето, е вистинскиот двигател на загубата: забрзаните краци на 40°C/75%RH паѓаат на 13,16–17,05% со CBN од 2,05–2,35%. | Heat, not time, drives the loss: the 40°C/75%RH accelerated arms collapse to 13.16–17.05% with CBN at 2.05–2.35%.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Најголемиот ризик серијата да „испадне“ од класата не е деградацијата, туку варијансата меѓу мерења (±1,5–2,5%) — новите опсези мора да ја впијат и неа. | The biggest risk of a batch falling out of grade is not degradation but between-measurement variance (±1.5–2.5%) — the new ranges must absorb it too.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Предложените опсези гарантираат: и денешно повторно мерење, и мерење по уште една година складирање, остануваат внатре во декларираната класа и внатре во критериумите за прифатливост. | The proposed ranges guarantee: a remeasure today, or after a further year of storage, still reads inside the declared grade and inside the acceptance criteria.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2.  ПОДАТОЦИ И ВЕРИФИКАЦИЈА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Data &amp; Verification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16232B"/>
          <w:sz w:val="18"/>
          <w:spacing w:val="0"/>
          <w:kern w:val="0"/>
        </w:rPr>
        <w:t>Корпусот е компајлиран од регистарот на eCoA сертификати и потоа проверен во живо на Letta-базата на знаење (ImB_QC_COAs): 4,134 passages scanned live (ImB_QC_COAs); 176 unique Total-THC lines; all 99 register values present; 9 stability rows recovered and attributed (3 P-codes → GP batches via the eCoA register). Дефектниот ред од ППК26037 (18,62 — неуспешна масена рамнотежа, обележан во изворот како PP-QC-ERR-002) е задржан во податоците, но исклучен од секоја статистика. | Corpus compiled from the eCoA register and live-verified against the Letta knowledgebase: 4,134 passages scanned live (ImB_QC_COAs); 176 unique Total-THC lines; all 99 register values present; 9 stability rows recovered and attributed (3 P-codes → GP batches via the eCoA register). The defective ППК26037 row (18.62 — failed mass balance, flagged PP-QC-ERR-002 in the source) is retained in the data but excluded from all statistics.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blHeader w:val="true"/>
        </w:trPr>
        <w:tc>
          <w:tcPr>
            <w:tcW w:type="dxa" w:w="3402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Слој | Layer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Резултати | Results</w:t>
            </w:r>
          </w:p>
        </w:tc>
        <w:tc>
          <w:tcPr>
            <w:tcW w:type="dxa" w:w="4876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Регистар на сертификати | Certificate register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99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77 серии, 20 сорти; секоја вредност препишана дословно | 77 batches, 20 strains; every value transcribed verbatim</w:t>
            </w:r>
          </w:p>
        </w:tc>
      </w:tr>
      <w:tr>
        <w:tc>
          <w:tcPr>
            <w:tcW w:type="dxa" w:w="3402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Студија на стабилност (Grape Pie) | Stability study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4876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ППК26032–26037 + ППК26057–26059; 8 употребливи + 1 дефектен | 8 usable + 1 defective</w:t>
            </w:r>
          </w:p>
        </w:tc>
      </w:tr>
      <w:tr>
        <w:tc>
          <w:tcPr>
            <w:tcW w:type="dxa" w:w="3402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Вкупно во студијата | Total in study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107</w:t>
            </w:r>
          </w:p>
        </w:tc>
        <w:tc>
          <w:tcPr>
            <w:tcW w:type="dxa" w:w="4876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стабилносните 40°C краци се доказ за деградација, не состојба на залиха | 40°C arms are degradation evidence, not inventory state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3.  СТАТИСТИКА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Statistics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68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n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Средна | Mean</w:t>
            </w:r>
          </w:p>
        </w:tc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SD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95% CI (средна | mean)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23.97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21.80 – 26.14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22.46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2.14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– 25.01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19.06 – 25.87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21.99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3.53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14.83 – 26.32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20.17 – 23.80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21.89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– 22.11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20.78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– 24.96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18.80 – 22.75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20.60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– 25.27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 – 23.46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19.34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3.12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14.97 – 22.43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15.46 – 23.22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2.59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– 21.92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12.54 – 25.39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13.93 – 20.54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15.67 – 20.42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17.75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1.31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– 18.67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– 17.04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12.39 – 20.83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13.76 – 20.16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– 16.93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16.86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– 18.98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15.50 – 18.22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– 17.67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14.17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4.93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– 20.03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10.85 – 17.48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12.41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1.77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– 14.06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9.60 – 15.22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– 11.53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  <w:tr>
        <w:tc>
          <w:tcPr>
            <w:tcW w:type="dxa" w:w="30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68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10.45</w:t>
            </w:r>
          </w:p>
        </w:tc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1.09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– 11.20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7.74 – 13.17</w:t>
            </w:r>
          </w:p>
        </w:tc>
      </w:tr>
      <w:tr>
        <w:tc>
          <w:tcPr>
            <w:tcW w:type="dxa" w:w="30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68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– 8.02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—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CI е интервал на доверба за средната вредност (t-распределба), прикажан само за n≥3 — за n=1 нема дистрибуција, а за n=2 интервалот е математички валиден но бескорисно широк. Резултатите вклучуваат и повторени мерења на исти серии: статистиката ја опишува популацијата на ТЕСТИРАНИ РЕЗУЛТАТИ, не независни серии. | CI is the confidence interval of the mean (t-distribution), shown only for n≥3 — n=1 is no distribution and n=2 gives a mathematically valid but uselessly wide interval. Results include repeat measurements of the same batches: the statistics describe the population of TESTED RESULTS, not independent batches.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4.  ДОКАЗИ ЗА ДЕГРАДАЦИЈА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Degradation Evidence</w:t>
      </w:r>
    </w:p>
    <w:p>
      <w:pPr>
        <w:spacing w:before="4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Студија на стабилност (Grape Pie, UKIM-CNP; серии P050022=GP0824_02, P050072=GP0824_03, P050202=GP062501): | Stability study (Grape Pie, UKIM-CNP):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blHeader w:val="true"/>
        </w:trPr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Сертификат | Report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Крак | Arm</w:t>
            </w:r>
          </w:p>
        </w:tc>
        <w:tc>
          <w:tcPr>
            <w:tcW w:type="dxa" w:w="90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Месец | Month</w:t>
            </w:r>
          </w:p>
        </w:tc>
        <w:tc>
          <w:tcPr>
            <w:tcW w:type="dxa" w:w="124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Вкупен THC %</w:t>
            </w:r>
          </w:p>
        </w:tc>
        <w:tc>
          <w:tcPr>
            <w:tcW w:type="dxa" w:w="90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CBN %</w:t>
            </w:r>
          </w:p>
        </w:tc>
        <w:tc>
          <w:tcPr>
            <w:tcW w:type="dxa" w:w="272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Статус | Status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21.31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0.23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13.16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24.62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ППК26035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14.99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ППК26036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M3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22.83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0.05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ППК26037</w:t>
            </w:r>
          </w:p>
        </w:tc>
        <w:tc>
          <w:tcPr>
            <w:tcW w:type="dxa" w:w="1474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M3</w:t>
            </w:r>
          </w:p>
        </w:tc>
        <w:tc>
          <w:tcPr>
            <w:tcW w:type="dxa" w:w="124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18.62</w:t>
            </w:r>
          </w:p>
        </w:tc>
        <w:tc>
          <w:tcPr>
            <w:tcW w:type="dxa" w:w="907"/>
            <w:vAlign w:val="center"/>
            <w:shd w:val="clear" w:color="auto" w:fill="FDECEA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1.00</w:t>
            </w:r>
          </w:p>
        </w:tc>
        <w:tc>
          <w:tcPr>
            <w:tcW w:type="dxa" w:w="2721"/>
            <w:vAlign w:val="center"/>
            <w:shd w:val="clear" w:color="auto" w:fill="FDECEA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ОДБИЕН | REJECTED: PP-QC-ERR-002: mass balance fails (1.09 + 0.877×18.47 = 17.29 ≠ 18.62) — source says DO NOT USE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ППК26057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24.51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0.04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ППК26058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40°C/75%RH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M6</w:t>
            </w:r>
          </w:p>
        </w:tc>
        <w:tc>
          <w:tcPr>
            <w:tcW w:type="dxa" w:w="124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17.05</w:t>
            </w:r>
          </w:p>
        </w:tc>
        <w:tc>
          <w:tcPr>
            <w:tcW w:type="dxa" w:w="90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2.05</w:t>
            </w:r>
          </w:p>
        </w:tc>
        <w:tc>
          <w:tcPr>
            <w:tcW w:type="dxa" w:w="272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  <w:tr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ППК26059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25°C/60%RH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M9</w:t>
            </w:r>
          </w:p>
        </w:tc>
        <w:tc>
          <w:tcPr>
            <w:tcW w:type="dxa" w:w="124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23.08</w:t>
            </w:r>
          </w:p>
        </w:tc>
        <w:tc>
          <w:tcPr>
            <w:tcW w:type="dxa" w:w="90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0.30</w:t>
            </w:r>
          </w:p>
        </w:tc>
        <w:tc>
          <w:tcPr>
            <w:tcW w:type="dxa" w:w="272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употреблив | usable</w:t>
            </w:r>
          </w:p>
        </w:tc>
      </w:tr>
    </w:tbl>
    <w:p>
      <w:pPr>
        <w:spacing w:before="16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Повторени мерења на исти серии (иста лабораторија): | Repeat same-lab measurements: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blHeader w:val="true"/>
        </w:trPr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928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81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Прво | First</w:t>
            </w:r>
          </w:p>
        </w:tc>
        <w:tc>
          <w:tcPr>
            <w:tcW w:type="dxa" w:w="181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Второ | Second</w:t>
            </w:r>
          </w:p>
        </w:tc>
        <w:tc>
          <w:tcPr>
            <w:tcW w:type="dxa" w:w="79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Δ</w:t>
            </w:r>
          </w:p>
        </w:tc>
        <w:tc>
          <w:tcPr>
            <w:tcW w:type="dxa" w:w="215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Забелешка | Note</w:t>
            </w:r>
          </w:p>
        </w:tc>
      </w:tr>
      <w:tr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19.14 (04.03.2026)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79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-1.82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</w:r>
          </w:p>
        </w:tc>
      </w:tr>
      <w:tr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8.09 (09.04.2026)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79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-0.18</w:t>
            </w:r>
          </w:p>
        </w:tc>
        <w:tc>
          <w:tcPr>
            <w:tcW w:type="dxa" w:w="215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</w:r>
          </w:p>
        </w:tc>
      </w:tr>
      <w:tr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928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25.27 (04.03.2026)</w:t>
            </w:r>
          </w:p>
        </w:tc>
        <w:tc>
          <w:tcPr>
            <w:tcW w:type="dxa" w:w="181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79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-5.06</w:t>
            </w:r>
          </w:p>
        </w:tc>
        <w:tc>
          <w:tcPr>
            <w:tcW w:type="dxa" w:w="2154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1-month interval — sampling heterogeneity, not degradation</w:t>
            </w:r>
          </w:p>
        </w:tc>
      </w:tr>
      <w:tr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928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19.84 (09.04.2026)</w:t>
            </w:r>
          </w:p>
        </w:tc>
        <w:tc>
          <w:tcPr>
            <w:tcW w:type="dxa" w:w="181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79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+2.00</w:t>
            </w:r>
          </w:p>
        </w:tc>
        <w:tc>
          <w:tcPr>
            <w:tcW w:type="dxa" w:w="2154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same-day duplicate certificates — pure sampling spread</w:t>
            </w:r>
          </w:p>
        </w:tc>
      </w:tr>
    </w:tbl>
    <w:p>
      <w:pPr>
        <w:spacing w:before="120" w:after="40" w:line="254" w:lineRule="auto"/>
        <w:jc w:val="left"/>
      </w:pPr>
      <w:r>
        <w:rPr>
          <w:rFonts w:ascii="Calibri" w:hAnsi="Calibri"/>
          <w:b w:val="0"/>
          <w:i/>
          <w:color w:val="37474F"/>
          <w:sz w:val="17"/>
          <w:spacing w:val="0"/>
          <w:kern w:val="0"/>
        </w:rPr>
        <w:t>Empirical basis: 25°C/60%RH stability arms show NO monotonic Total-THC decline over 3–9 months (22.83→24.51; 21.31→23.08 — movement within sampling/measurement variance); 40°C/75%RH arms collapse to 13.16–17.05% with CBN 2.05–2.35% (heat, not time, drives loss). Same-lab repeat pairs: J31102501 19.14→17.32 over 5 months (−1.82, ≤ combined U of the two measurements); OPM122501 8.09→7.91 over 4 months (−0.18). Cross-lab intake-vs-retest deltas scatter −3.1…+4.3 around ≈0 — inter-lab/sampling variance dominates any age effect. D = 1.5 %abs/year is therefore a CONSERVATIVE allowance, larger than any evidenced 12-month decline at warehouse conditions.</w:t>
      </w:r>
    </w:p>
    <w:p>
      <w:pPr>
        <w:spacing w:before="8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Заклучок: усвојуваме конзервативен додаток за деградација D = 1,5 %апс./година — поголем од секое докажано 12-месечно опаѓање на складишни услови. | Conclusion: we adopt a conservative degradation allowance D = 1.5 %abs/year — larger than any evidenced 12-month decline at warehouse conditions.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5.  МЕТОДОЛОГИЈА НА ОПСЕЗИТЕ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Range Methodology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Досегашна методологија | Methodology to date: QCSP 001 standard 4-tier fixed brackets: I 27.00–30.00 · II 23.00–26.90 · III 16.00–22.90 · IV 5.00–15.90 (nominal = midpoint); custom narrower sets for several renamed strains; T1 files graded from the Aug-2026 retest values, T1_rename graded from Portfolio-Master intake values (intentionally different, per owner). Weakness for ageing stock: brackets are fixed and grade-boundary batches can flip out of grade on any remeasure or with modest degradation — the bracket encodes no downward headroom for a specific batch.</w:t>
      </w:r>
    </w:p>
    <w:p>
      <w:pPr>
        <w:spacing w:before="120" w:after="40" w:line="254" w:lineRule="auto"/>
        <w:jc w:val="left"/>
      </w:pPr>
      <w:r>
        <w:rPr>
          <w:rFonts w:ascii="Calibri" w:hAnsi="Calibri"/>
          <w:b/>
          <w:i w:val="0"/>
          <w:color w:val="16232B"/>
          <w:sz w:val="19"/>
          <w:spacing w:val="0"/>
          <w:kern w:val="0"/>
        </w:rPr>
        <w:t>Нова методологија (оваа студија) | New methodology (this study):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Сидро по серија = најновиот верификуван резултат (ретест каде постои). | Per-batch anchor = the most recent verified result (retest where one exists).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Долна граница на класата = сидро − D − U(сидро), заокружено на 0,5 надолу; никогаш под 5,00% (критериум за прифатливост при ослободување). | Grade floor = anchor − D − U(anchor), rounded down to 0.5; never below 5.00% (the release acceptance floor).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Горна граница = сидро + U(сидро) (заокружено нагоре) — и повисоко повторно мерење останува внатре. | Grade ceiling = anchor + U(anchor) (rounded up) — a higher remeasure also stays inside.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U = мерна неодреденост ≈ 6,2% од вредноста (k=2, како на самите сертификати); D = 1,5 %апс./година (Поглавје 4). | U = measurement uncertainty ≈ 6.2% of value (k=2, as stated on the certificates); D = 1.5 %abs/year (Chapter 4).</w:t>
      </w:r>
    </w:p>
    <w:p>
      <w:pPr>
        <w:spacing w:before="40" w:after="20" w:line="254" w:lineRule="auto"/>
        <w:jc w:val="left"/>
      </w:pPr>
      <w:r>
        <w:rPr>
          <w:rFonts w:ascii="Calibri" w:hAnsi="Calibri"/>
          <w:b w:val="0"/>
          <w:i w:val="0"/>
          <w:color w:val="37474F"/>
          <w:sz w:val="18"/>
          <w:spacing w:val="0"/>
          <w:kern w:val="0"/>
        </w:rPr>
        <w:t>• Класите по сорта се групираат лакомо по растечки сидра, со максимална ширина 6,5 процентни поени; класите СМЕАТ да се преклопуваат — серијата се класира поединечно, а дисјунктни класи би го вратиле старот проблем со прелевање на границите. | Per-strain tiers are greedily clustered on ascending anchors, max width 6.5 points; tiers MAY overlap — batches are graded individually, and forcing disjoint tiers would recreate the old boundary-flip problem.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6.  ДИСТРИБУЦИИ ПО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Per-Strain Distributions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Оска 0–35% Вкупен Δ⁹-THC; секој резултат носи зона од ±1,5% (сините појаси — натрупувањето е визуелна густина); крива на дистрибуција за n≥3; средна вредност (златна линија) и 95% CI (златна зона); предложени класи W-x (зелено); старите стандардни граници (испрекинато). За Grape Pie: стабилносни точки — квадрати 25°C, триаголници 40°C. | 0–35% axis; each result carries a ±1.5% zone (blue bands — stacking is visual density); distribution curve for n≥3; mean (gold line) and 95% CI (gold zone); proposed W-x tiers (green); old standard boundaries (dashed). Grape Pie also shows the stability points — squares 25°C, triangles 40°C.</w:t>
      </w:r>
    </w:p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  Apple and Banana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18.0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6.2  Blue Gelato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 – 28.0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6.3  Blue Sunset Sherbet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22.0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 – 25.0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 – 27.0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6.4  Cap Junky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 – 16.0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20.5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CJ082501/2, CJ062501/2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18.29, 18.91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 – 24.5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CJ062501/1, CJ092501, CJ1024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21.51, 22.30, 23.00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 – 27.0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CJ072501, CJ052501/01, CJ082501/1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23.70, 24.05, 24.96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6.5  Cash Cow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 – 14.5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CC012603, CC112501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12.32, 13.35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 – 19.0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6.6  Clemosa a bud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6.0 – 9.0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6.7  Fat Bastard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 – 18.0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FB012601/1, FB112501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14.68, 16.69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20.5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FB012603V, FB012602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18.29, 18.86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 – 22.5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6.8  Gorilla Glue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 – 17.0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GG1024, GG012601, GG1024_02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13.34, 15.35, 15.95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20.0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GG012603, GG112501, GG1024_01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16.70, 17.94, 18.67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6.9  Grape Pie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 – 17.0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21.5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GP052501, GP072501/2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18.52, 19.81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 – 24.5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GP082501/1, GP072501/1, GP0824_02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21.29, 21.36, 22.61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 – 27.5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GP062501, GP0824_03, GP092501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24.89, 25.45, 25.73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6.10  Graps &amp; Creme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5.0 – 7.5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 – 12.5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6.11  High Pro Amnesia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23.0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HPA052501, HPA1024_01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20.39, 21.61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6.12  Jelly Donutz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 – 18.0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JD012603/02V, JD012603/01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15.16, 16.71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22.0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JD012601, JD112501, JD012603/02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18.16, 20.32, 20.54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6.13  Jokerz 31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 – 23.5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J31112501, J31122501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20.21, 21.84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6.14  Kush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18.5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6.15  Motor Breath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20.0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MB0824_05, MB0824_04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16.82, 18.67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6.16  Orange Punch Mimosa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5.5 – 10.5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OPM122501, OPM112501, OPM092501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7.91, 8.00, 9.43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 – 18.0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OPM052501, OMP1024_01, OPM1024_03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14.16, 15.38, 16.55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 – 21.5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OPM1024_02, OPM1024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18.04, 20.03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6.17  Permanent Marker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7.5 – 13.5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PM072501, PM092501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10.01, 12.25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 – 14.5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6.18  Scrambler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19.5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SCR112501, SCR012603, SCR012601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17.13, 17.84, 18.07</w:t>
            </w:r>
          </w:p>
        </w:tc>
      </w:tr>
      <w:tr>
        <w:tc>
          <w:tcPr>
            <w:tcW w:type="dxa" w:w="102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70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23.5</w:t>
            </w:r>
          </w:p>
        </w:tc>
        <w:tc>
          <w:tcPr>
            <w:tcW w:type="dxa" w:w="4309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2835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6.19  Sleepy Joy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 – 12.0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SJ112501, SJ092501, SJ102501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9.20, 10.96, 11.20</w:t>
            </w:r>
          </w:p>
        </w:tc>
      </w:tr>
    </w:tbl>
    <w:p>
      <w:pPr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  <w:spacing w:val="0"/>
          <w:kern w:val="0"/>
        </w:rPr>
        <w:t>6.20  Wedding Crasher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6192000" cy="18370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in_2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183709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rPr>
          <w:tblHeader w:val="true"/>
        </w:trPr>
        <w:tc>
          <w:tcPr>
            <w:tcW w:type="dxa" w:w="102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70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Опсег | Range (%)</w:t>
            </w:r>
          </w:p>
        </w:tc>
        <w:tc>
          <w:tcPr>
            <w:tcW w:type="dxa" w:w="4309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Серии | Batches</w:t>
            </w:r>
          </w:p>
        </w:tc>
        <w:tc>
          <w:tcPr>
            <w:tcW w:type="dxa" w:w="2835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Сидра | Anchors (%)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70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 – 23.5</w:t>
            </w:r>
          </w:p>
        </w:tc>
        <w:tc>
          <w:tcPr>
            <w:tcW w:type="dxa" w:w="4309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WC082501, WC072501</w:t>
            </w:r>
          </w:p>
        </w:tc>
        <w:tc>
          <w:tcPr>
            <w:tcW w:type="dxa" w:w="2835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21.67, 22.11</w:t>
            </w:r>
          </w:p>
        </w:tc>
      </w:tr>
    </w:tbl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7.  ПРЕДЛОГ-КЛАСИ ЗА ЗАЛИХАТА Т1/Т2/Т3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Proposed Grades for the T1/T2/T3 Stock</w:t>
      </w:r>
    </w:p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7"/>
          <w:spacing w:val="0"/>
          <w:kern w:val="0"/>
        </w:rPr>
        <w:t>Сидро = најнов верификуван резултат; каде нема ниту еден сертификат, основата е декларираната вредност (означено). Просторот надолу е гаранцијата против деградација и мерна варијанса. | Anchor = latest verified result; where no certificate exists the declared value is the basis (flagged). The downward headroom is the guarantee against degradation and measurement variance.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blHeader w:val="true"/>
        </w:trPr>
        <w:tc>
          <w:tcPr>
            <w:tcW w:type="dxa" w:w="51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Т</w:t>
            </w:r>
          </w:p>
        </w:tc>
        <w:tc>
          <w:tcPr>
            <w:tcW w:type="dxa" w:w="153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Серија | Batch</w:t>
            </w:r>
          </w:p>
        </w:tc>
        <w:tc>
          <w:tcPr>
            <w:tcW w:type="dxa" w:w="187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Сорта | Strain</w:t>
            </w:r>
          </w:p>
        </w:tc>
        <w:tc>
          <w:tcPr>
            <w:tcW w:type="dxa" w:w="175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Сидро | Anchor (%)</w:t>
            </w:r>
          </w:p>
        </w:tc>
        <w:tc>
          <w:tcPr>
            <w:tcW w:type="dxa" w:w="1077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Стара класа | Old</w:t>
            </w:r>
          </w:p>
        </w:tc>
        <w:tc>
          <w:tcPr>
            <w:tcW w:type="dxa" w:w="850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Класа | Tier</w:t>
            </w:r>
          </w:p>
        </w:tc>
        <w:tc>
          <w:tcPr>
            <w:tcW w:type="dxa" w:w="1474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Предлог опсег | Proposed (%)</w:t>
            </w:r>
          </w:p>
        </w:tc>
        <w:tc>
          <w:tcPr>
            <w:tcW w:type="dxa" w:w="1361"/>
            <w:vAlign w:val="center"/>
            <w:shd w:val="clear" w:color="auto" w:fill="2B547E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  <w:spacing w:val="0"/>
                <w:kern w:val="0"/>
              </w:rPr>
              <w:t>Простор надолу | Headroom (%)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Gelato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26.14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 – 28.0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25.01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 – 26.5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24.05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21.0 – 25.5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18.91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 – 20.0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17.67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 – 19.0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18.86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 – 20.0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GG012603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17.5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 – 20.0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 – 19.5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22.61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 – 24.0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15.70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 – 16.5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HPA1024_01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21.61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20.32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21.5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17.32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20.03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21.5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18.04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OPM122501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7.91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6.0 – 9.0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12.25 (07.08.2026)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 – 13.0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Т1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17.84 (07.08.2026)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15.0 – 19.0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ACC102501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Amnesia Core Cut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12.91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10.5 – 14.0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21.5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CJ062501/1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21.51 (23.10.2025)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 – 23.0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CJ082501/1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 – 26.5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22.30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19.5 – 23.5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12.32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 – 13.5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CF102501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Chem Flyer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9.83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7.5 – 11.0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CLE072501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Clemosa a bud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8.02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6.0 – 9.0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2.02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14.68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 – 15.5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2.18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13.34 (23.04.2025)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 – 14.5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19.81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 – 21.0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25.45 (10.07.2025)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 – 27.0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GP082501/1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21.29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 – 22.5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25.73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22.5 – 27.5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GRC102501/2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11.53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9.5 – 12.5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HPA052501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High Pro Amnesia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20.39 (19.09.2025)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21.5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16.71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17.5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20.54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 – 22.0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JD012603/02V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15.16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 – 16.0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KC102501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Kush Crasher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17.04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2.54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MB0824_05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16.82 (28.07.2025)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OMP1024_01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15.38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 – 16.5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2.38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OPM092501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9.43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7.5 – 10.5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OPM1024_03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16.55 (28.07.2025)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17.5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13.33 (05.03.2026)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 – 14.5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PUM102501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Pure Michigen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15.63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 – 16.5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17.13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2.63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10.96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 – 12.0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1.96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Т2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WC082501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21.67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2.67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AB092501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Apple and Banana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16.93 (21.01.2026)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14.5 – 18.0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BSS1024_01/1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Blue Sunset Sherbet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23.42 (декл. | decl.)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 – 25.0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CJ052501/02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14.93 (17.09.2025)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12.5 – 16.0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23.70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20.5 – 25.0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CJ1024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Cap Junky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23.00 (26.02.2025)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20.0 – 24.5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CC112501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Cash Cow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11.0 – 14.5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20.83 (30.06.2026)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 – 22.0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2.83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FB012603V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18.29 (30.06.2026)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2.79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FB112501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Fat Bastard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16.69 (11.05.2026)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14.0 – 17.5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15.35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13.0 – 16.5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2.35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GG1024_02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15.95 (22.05.2025)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13.5 – 17.0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GG112501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Gorilla Glue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17.94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2.44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GP062501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24.89 (28.11.2025)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W-4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 – 26.5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2.89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GP072501/1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Grape Pie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21.36 (21.01.2026)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W-3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18.5 – 22.5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GRC102501/1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Graps &amp; Creme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5.0 – 8.0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JD012601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Jelly Donutz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18.16 (11.05.2026)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20.21 (09.04.2026)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&gt;=25%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17.5 – 21.5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2.71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J31122501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Jokerz 31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21.84 (09.04.2026)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19-22%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2.84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MB0824_04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Motor Breath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18.67 (06.05.2025)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16.0 – 20.0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2.67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OPM052501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14.16 (05.09.2025)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13-16%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12.0 – 15.0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2.16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OPM112501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Orange Punch Mimosa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8.00 (05.03.2026)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6.0 – 9.0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PM072501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Permanent Marker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10.01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8.0 – 11.0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2.01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SCR012601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18.07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15.5 – 19.0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2.57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SCR022601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Scrambler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21.92 (06.07.2026)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16-19%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W-2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2.92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11.20 (04.03.2026)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10-13%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9.0 – 12.0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2.20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SJ112501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Sleepy Joy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9.20 (04.03.2026)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7-10%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7.0 – 10.0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2.20</w:t>
            </w:r>
          </w:p>
        </w:tc>
      </w:tr>
      <w:tr>
        <w:tc>
          <w:tcPr>
            <w:tcW w:type="dxa" w:w="510"/>
            <w:vAlign w:val="center"/>
            <w:shd w:val="clear" w:color="auto" w:fill="FFFFFF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WED102501</w:t>
            </w:r>
          </w:p>
        </w:tc>
        <w:tc>
          <w:tcPr>
            <w:tcW w:type="dxa" w:w="187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Cake</w:t>
            </w:r>
          </w:p>
        </w:tc>
        <w:tc>
          <w:tcPr>
            <w:tcW w:type="dxa" w:w="175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22.05 (декл. | decl.)</w:t>
            </w:r>
          </w:p>
        </w:tc>
        <w:tc>
          <w:tcPr>
            <w:tcW w:type="dxa" w:w="1077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23.5</w:t>
            </w:r>
          </w:p>
        </w:tc>
        <w:tc>
          <w:tcPr>
            <w:tcW w:type="dxa" w:w="1361"/>
            <w:vAlign w:val="center"/>
            <w:shd w:val="clear" w:color="auto" w:fill="FFFFFF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3.05</w:t>
            </w:r>
          </w:p>
        </w:tc>
      </w:tr>
      <w:tr>
        <w:tc>
          <w:tcPr>
            <w:tcW w:type="dxa" w:w="510"/>
            <w:vAlign w:val="center"/>
            <w:shd w:val="clear" w:color="auto" w:fill="F4F7FB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Т3</w:t>
            </w:r>
          </w:p>
        </w:tc>
        <w:tc>
          <w:tcPr>
            <w:tcW w:type="dxa" w:w="153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WC072501</w:t>
            </w:r>
          </w:p>
        </w:tc>
        <w:tc>
          <w:tcPr>
            <w:tcW w:type="dxa" w:w="187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Wedding Crasher</w:t>
            </w:r>
          </w:p>
        </w:tc>
        <w:tc>
          <w:tcPr>
            <w:tcW w:type="dxa" w:w="175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22.11 (28.11.2025)</w:t>
            </w:r>
          </w:p>
        </w:tc>
        <w:tc>
          <w:tcPr>
            <w:tcW w:type="dxa" w:w="1077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22-25%</w:t>
            </w:r>
          </w:p>
        </w:tc>
        <w:tc>
          <w:tcPr>
            <w:tcW w:type="dxa" w:w="850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W-1</w:t>
            </w:r>
          </w:p>
        </w:tc>
        <w:tc>
          <w:tcPr>
            <w:tcW w:type="dxa" w:w="1474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19.0 – 23.5</w:t>
            </w:r>
          </w:p>
        </w:tc>
        <w:tc>
          <w:tcPr>
            <w:tcW w:type="dxa" w:w="1361"/>
            <w:vAlign w:val="center"/>
            <w:shd w:val="clear" w:color="auto" w:fill="F4F7FB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color w:val="16232B"/>
                <w:sz w:val="16"/>
                <w:spacing w:val="0"/>
                <w:kern w:val="0"/>
              </w:rPr>
              <w:t>3.11</w:t>
            </w:r>
          </w:p>
        </w:tc>
      </w:tr>
    </w:tbl>
    <w:p>
      <w:pPr>
        <w:spacing w:before="40" w:after="40" w:line="254" w:lineRule="auto"/>
        <w:jc w:val="left"/>
      </w:pPr>
      <w:r>
        <w:rPr>
          <w:rFonts w:ascii="Calibri" w:hAnsi="Calibri"/>
          <w:b w:val="0"/>
          <w:i/>
          <w:color w:val="4A5B6C"/>
          <w:sz w:val="16"/>
          <w:spacing w:val="0"/>
          <w:kern w:val="0"/>
        </w:rPr>
        <w:t>Жолти редови: без ниту еден сертификат на датотека — основа е декларираната вредност; овие серии да се тестираат пред формално декларирање класа. | Yellow rows: no certificate on file — declared value used as basis; test these batches before formally declaring a grade.</w:t>
      </w:r>
    </w:p>
    <w:p>
      <w:pPr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  <w:spacing w:val="0"/>
          <w:kern w:val="0"/>
        </w:rPr>
        <w:t>8.  АНЕКС — ПРЕГЛЕД НА СИТЕ СОРТИ</w:t>
      </w:r>
      <w:r>
        <w:rPr>
          <w:rFonts w:ascii="Calibri" w:hAnsi="Calibri"/>
          <w:b w:val="0"/>
          <w:i w:val="0"/>
          <w:color w:val="595959"/>
          <w:sz w:val="36"/>
          <w:spacing w:val="0"/>
          <w:kern w:val="0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  <w:spacing w:val="0"/>
          <w:kern w:val="0"/>
        </w:rPr>
        <w:t>Annex — All-Strain Overview</w:t>
      </w:r>
    </w:p>
    <w:p>
      <w:pPr>
        <w:jc w:val="center"/>
      </w:pPr>
      <w:r>
        <w:rPr>
          <w:spacing w:val="0"/>
          <w:kern w:val="0"/>
        </w:rPr>
        <w:drawing>
          <wp:inline xmlns:a="http://schemas.openxmlformats.org/drawingml/2006/main" xmlns:pic="http://schemas.openxmlformats.org/drawingml/2006/picture">
            <wp:extent cx="5580000" cy="44159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15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Calibri" w:hAnsi="Calibri"/>
          <w:b/>
          <w:i w:val="0"/>
          <w:color w:val="2B547E"/>
          <w:sz w:val="18"/>
          <w:spacing w:val="0"/>
          <w:kern w:val="0"/>
        </w:rPr>
        <w:t xml:space="preserve">Слика | Figure —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Сите сорти на една оска 0–35%: резултати, средни вредности, предложени класи</w:t>
      </w:r>
      <w:r>
        <w:rPr>
          <w:rFonts w:ascii="Calibri" w:hAnsi="Calibri"/>
          <w:b w:val="0"/>
          <w:i w:val="0"/>
          <w:color w:val="595959"/>
          <w:sz w:val="16"/>
          <w:spacing w:val="0"/>
          <w:kern w:val="0"/>
        </w:rPr>
        <w:t xml:space="preserve">  |  </w:t>
      </w:r>
      <w:r>
        <w:rPr>
          <w:rFonts w:ascii="Calibri" w:hAnsi="Calibri"/>
          <w:b w:val="0"/>
          <w:i/>
          <w:color w:val="595959"/>
          <w:sz w:val="18"/>
          <w:spacing w:val="0"/>
          <w:kern w:val="0"/>
        </w:rPr>
        <w:t>All strains on one 0–35% axis: results, means, proposed tiers</w:t>
      </w:r>
    </w:p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СТУДИЈА НА ПОТЕНЦА ПО СОРТИ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Strain Potency Study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Неформален работен документ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Informal working document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