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2B547E"/>
          <w:sz w:val="48"/>
        </w:rPr>
        <w:t>СТАНДАРДНА ОПЕРАТИВНА ПРОЦЕДУРА</w:t>
      </w:r>
    </w:p>
    <w:p>
      <w:pPr>
        <w:spacing w:before="120" w:after="80"/>
        <w:jc w:val="center"/>
      </w:pPr>
      <w:r>
        <w:rPr>
          <w:rFonts w:ascii="Calibri" w:hAnsi="Calibri"/>
          <w:b w:val="0"/>
          <w:i w:val="0"/>
          <w:color w:val="595959"/>
          <w:sz w:val="28"/>
        </w:rPr>
        <w:t>STANDARD OPERATING PROCEDURE</w:t>
      </w:r>
    </w:p>
    <w:p>
      <w:pPr>
        <w:spacing w:before="120" w:after="80"/>
        <w:jc w:val="center"/>
      </w:pPr>
      <w:r>
        <w:rPr>
          <w:rFonts w:ascii="Calibri" w:hAnsi="Calibri"/>
          <w:b/>
          <w:i w:val="0"/>
          <w:color w:val="2B547E"/>
          <w:sz w:val="36"/>
        </w:rPr>
        <w:t>WHSOP_003 · DRAFT</w:t>
      </w:r>
    </w:p>
    <w:p>
      <w:pPr>
        <w:spacing w:before="80" w:after="160"/>
        <w:jc w:val="center"/>
      </w:pPr>
      <w:r>
        <w:rPr>
          <w:rFonts w:ascii="Calibri" w:hAnsi="Calibri"/>
          <w:b/>
          <w:i w:val="0"/>
          <w:color w:val="000000"/>
          <w:sz w:val="24"/>
        </w:rPr>
        <w:t>Внатрешен (копнен) транспорт на опојни дроги — медицински канабис</w:t>
      </w:r>
      <w:r>
        <w:rPr>
          <w:rFonts w:ascii="Calibri" w:hAnsi="Calibri"/>
          <w:b w:val="0"/>
          <w:i w:val="0"/>
          <w:color w:val="595959"/>
          <w:sz w:val="20"/>
        </w:rPr>
        <w:t xml:space="preserve"> | </w:t>
      </w:r>
      <w:r>
        <w:rPr>
          <w:rFonts w:ascii="Calibri" w:hAnsi="Calibri"/>
          <w:b/>
          <w:i w:val="0"/>
          <w:color w:val="595959"/>
          <w:sz w:val="24"/>
        </w:rPr>
        <w:t>Inland Transport of Narcotic Drugs (Euphoric Substances) — Medical Cannabis</w:t>
      </w:r>
    </w:p>
    <w:tbl>
      <w:tblPr>
        <w:tblW w:type="auto" w:w="0"/>
        <w:jc w:val="center"/>
        <w:tblLayout w:type="fixed"/>
        <w:tblLook w:firstColumn="1" w:firstRow="1" w:lastColumn="0" w:lastRow="0" w:noHBand="0" w:noVBand="1" w:val="04A0"/>
        <w:tblLayout w:type="fixed"/>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Pr>
      <w:tblGrid>
        <w:gridCol w:w="10466"/>
      </w:tblGrid>
      <w:tr>
        <w:tc>
          <w:tcPr>
            <w:tcW w:type="dxa" w:w="10205"/>
            <w:shd w:val="clear" w:color="auto" w:fill="FDEDEC"/>
            <w:tcMar>
              <w:top w:w="46" w:type="dxa"/>
              <w:left w:w="86" w:type="dxa"/>
              <w:bottom w:w="46" w:type="dxa"/>
              <w:right w:w="86" w:type="dxa"/>
            </w:tcMar>
          </w:tcPr>
          <w:p>
            <w:pPr>
              <w:spacing w:before="20" w:after="20"/>
              <w:jc w:val="center"/>
            </w:pPr>
            <w:r>
              <w:rPr>
                <w:rFonts w:ascii="Calibri" w:hAnsi="Calibri"/>
                <w:b/>
                <w:i w:val="0"/>
                <w:color w:val="C00000"/>
                <w:sz w:val="24"/>
              </w:rPr>
              <w:t>РАБОТНА ВЕРЗИЈА — НЕ ЗА УПОТРЕБА | DRAFT — NOT FOR USE</w:t>
            </w:r>
          </w:p>
          <w:p>
            <w:pPr>
              <w:spacing w:before="20" w:after="20"/>
              <w:jc w:val="center"/>
            </w:pPr>
            <w:r>
              <w:rPr>
                <w:rFonts w:ascii="Calibri" w:hAnsi="Calibri"/>
                <w:b/>
                <w:i w:val="0"/>
                <w:color w:val="000000"/>
                <w:sz w:val="20"/>
              </w:rPr>
              <w:t>Верзија | Version: DRAFT</w:t>
            </w:r>
            <w:r>
              <w:rPr>
                <w:rFonts w:ascii="Calibri" w:hAnsi="Calibri"/>
                <w:b w:val="0"/>
                <w:i w:val="0"/>
                <w:color w:val="595959"/>
                <w:sz w:val="20"/>
              </w:rPr>
              <w:t xml:space="preserve">     </w:t>
            </w:r>
            <w:r>
              <w:rPr>
                <w:rFonts w:ascii="Calibri" w:hAnsi="Calibri"/>
                <w:b/>
                <w:i w:val="0"/>
                <w:color w:val="000000"/>
                <w:sz w:val="20"/>
              </w:rPr>
              <w:t>Датум на важност | Effective date: —</w:t>
            </w:r>
          </w:p>
        </w:tc>
      </w:tr>
    </w:tbl>
    <w:p/>
    <w:tbl>
      <w:tblPr>
        <w:tblW w:type="auto" w:w="0"/>
        <w:jc w:val="center"/>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c>
          <w:tcPr>
            <w:tcW w:type="dxa" w:w="2665"/>
            <w:shd w:val="clear" w:color="auto" w:fill="D9E2F3"/>
          </w:tcPr>
          <w:p>
            <w:r/>
            <w:r>
              <w:rPr>
                <w:rFonts w:ascii="Calibri" w:hAnsi="Calibri"/>
                <w:b/>
                <w:i w:val="0"/>
                <w:color w:val="000000"/>
                <w:sz w:val="22"/>
              </w:rPr>
              <w:t>Дејство</w:t>
            </w:r>
            <w:r>
              <w:rPr>
                <w:rFonts w:ascii="Calibri" w:hAnsi="Calibri"/>
                <w:b w:val="0"/>
                <w:i w:val="0"/>
                <w:color w:val="000000"/>
                <w:sz w:val="14"/>
              </w:rPr>
              <w:t xml:space="preserve"> | </w:t>
            </w:r>
            <w:r>
              <w:rPr>
                <w:rFonts w:ascii="Calibri" w:hAnsi="Calibri"/>
                <w:b/>
                <w:i w:val="0"/>
                <w:color w:val="000000"/>
                <w:sz w:val="14"/>
              </w:rPr>
              <w:t>Action</w:t>
            </w:r>
          </w:p>
        </w:tc>
        <w:tc>
          <w:tcPr>
            <w:tcW w:type="dxa" w:w="2665"/>
            <w:shd w:val="clear" w:color="auto" w:fill="D9E2F3"/>
          </w:tcPr>
          <w:p>
            <w:r/>
            <w:r>
              <w:rPr>
                <w:rFonts w:ascii="Calibri" w:hAnsi="Calibri"/>
                <w:b/>
                <w:i w:val="0"/>
                <w:color w:val="000000"/>
                <w:sz w:val="22"/>
              </w:rPr>
              <w:t>Позиција</w:t>
            </w:r>
            <w:r>
              <w:rPr>
                <w:rFonts w:ascii="Calibri" w:hAnsi="Calibri"/>
                <w:b w:val="0"/>
                <w:i w:val="0"/>
                <w:color w:val="000000"/>
                <w:sz w:val="14"/>
              </w:rPr>
              <w:t xml:space="preserve"> | </w:t>
            </w:r>
            <w:r>
              <w:rPr>
                <w:rFonts w:ascii="Calibri" w:hAnsi="Calibri"/>
                <w:b/>
                <w:i w:val="0"/>
                <w:color w:val="000000"/>
                <w:sz w:val="14"/>
              </w:rPr>
              <w:t>Position</w:t>
            </w:r>
          </w:p>
        </w:tc>
        <w:tc>
          <w:tcPr>
            <w:tcW w:type="dxa" w:w="2665"/>
            <w:shd w:val="clear" w:color="auto" w:fill="D9E2F3"/>
          </w:tcPr>
          <w:p>
            <w:r/>
            <w:r>
              <w:rPr>
                <w:rFonts w:ascii="Calibri" w:hAnsi="Calibri"/>
                <w:b/>
                <w:i w:val="0"/>
                <w:color w:val="000000"/>
                <w:sz w:val="22"/>
              </w:rPr>
              <w:t>Име</w:t>
            </w:r>
            <w:r>
              <w:rPr>
                <w:rFonts w:ascii="Calibri" w:hAnsi="Calibri"/>
                <w:b w:val="0"/>
                <w:i w:val="0"/>
                <w:color w:val="000000"/>
                <w:sz w:val="14"/>
              </w:rPr>
              <w:t xml:space="preserve"> | </w:t>
            </w:r>
            <w:r>
              <w:rPr>
                <w:rFonts w:ascii="Calibri" w:hAnsi="Calibri"/>
                <w:b/>
                <w:i w:val="0"/>
                <w:color w:val="000000"/>
                <w:sz w:val="14"/>
              </w:rPr>
              <w:t>Name</w:t>
            </w:r>
          </w:p>
        </w:tc>
        <w:tc>
          <w:tcPr>
            <w:tcW w:type="dxa" w:w="2665"/>
            <w:shd w:val="clear" w:color="auto" w:fill="D9E2F3"/>
          </w:tcPr>
          <w:p>
            <w:r/>
            <w:r>
              <w:rPr>
                <w:rFonts w:ascii="Calibri" w:hAnsi="Calibri"/>
                <w:b/>
                <w:i w:val="0"/>
                <w:color w:val="000000"/>
                <w:sz w:val="22"/>
              </w:rPr>
              <w:t>Датум/Потпис</w:t>
            </w:r>
            <w:r>
              <w:rPr>
                <w:rFonts w:ascii="Calibri" w:hAnsi="Calibri"/>
                <w:b w:val="0"/>
                <w:i w:val="0"/>
                <w:color w:val="000000"/>
                <w:sz w:val="14"/>
              </w:rPr>
              <w:t xml:space="preserve"> | </w:t>
            </w:r>
            <w:r>
              <w:rPr>
                <w:rFonts w:ascii="Calibri" w:hAnsi="Calibri"/>
                <w:b/>
                <w:i w:val="0"/>
                <w:color w:val="000000"/>
                <w:sz w:val="14"/>
              </w:rPr>
              <w:t>Date/Sign</w:t>
            </w:r>
          </w:p>
        </w:tc>
      </w:tr>
      <w:tr>
        <w:tc>
          <w:tcPr>
            <w:tcW w:type="dxa" w:w="2665"/>
          </w:tcPr>
          <w:p>
            <w:r/>
            <w:r>
              <w:rPr>
                <w:rFonts w:ascii="Calibri" w:hAnsi="Calibri"/>
                <w:b w:val="0"/>
                <w:i w:val="0"/>
                <w:color w:val="000000"/>
                <w:sz w:val="20"/>
              </w:rPr>
              <w:t>Подготвил | Prepared by</w:t>
            </w:r>
          </w:p>
        </w:tc>
        <w:tc>
          <w:tcPr>
            <w:tcW w:type="dxa" w:w="2665"/>
          </w:tcPr>
          <w:p/>
        </w:tc>
        <w:tc>
          <w:tcPr>
            <w:tcW w:type="dxa" w:w="2665"/>
          </w:tcPr>
          <w:p>
            <w:r>
              <w:rPr>
                <w:rFonts w:ascii="Calibri" w:hAnsi="Calibri"/>
                <w:b w:val="0"/>
                <w:i w:val="0"/>
                <w:color w:val="000000"/>
                <w:sz w:val="20"/>
              </w:rPr>
              <w:t>B. Nikolov, M.Pharm.</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Проверил | Reviewed by</w:t>
            </w:r>
          </w:p>
        </w:tc>
        <w:tc>
          <w:tcPr>
            <w:tcW w:type="dxa" w:w="2665"/>
          </w:tcPr>
          <w:p/>
        </w:tc>
        <w:tc>
          <w:tcPr>
            <w:tcW w:type="dxa" w:w="2665"/>
          </w:tcPr>
          <w:p>
            <w:r>
              <w:rPr>
                <w:rFonts w:ascii="Calibri" w:hAnsi="Calibri"/>
                <w:b w:val="0"/>
                <w:i w:val="0"/>
                <w:color w:val="000000"/>
                <w:sz w:val="20"/>
              </w:rPr>
              <w:t>J. Romevska</w:t>
            </w:r>
          </w:p>
        </w:tc>
        <w:tc>
          <w:tcPr>
            <w:tcW w:type="dxa" w:w="2665"/>
          </w:tcPr>
          <w:p>
            <w:r>
              <w:rPr>
                <w:rFonts w:ascii="Calibri" w:hAnsi="Calibri"/>
                <w:b w:val="0"/>
                <w:i/>
                <w:color w:val="595959"/>
                <w:sz w:val="18"/>
              </w:rPr>
              <w:t>Во тек | Pending</w:t>
            </w:r>
          </w:p>
        </w:tc>
      </w:tr>
      <w:tr>
        <w:tc>
          <w:tcPr>
            <w:tcW w:type="dxa" w:w="2665"/>
          </w:tcPr>
          <w:p>
            <w:r/>
            <w:r>
              <w:rPr>
                <w:rFonts w:ascii="Calibri" w:hAnsi="Calibri"/>
                <w:b w:val="0"/>
                <w:i w:val="0"/>
                <w:color w:val="000000"/>
                <w:sz w:val="20"/>
              </w:rPr>
              <w:t>Одобрил | Approved by</w:t>
            </w:r>
          </w:p>
        </w:tc>
        <w:tc>
          <w:tcPr>
            <w:tcW w:type="dxa" w:w="2665"/>
          </w:tcPr>
          <w:p/>
        </w:tc>
        <w:tc>
          <w:tcPr>
            <w:tcW w:type="dxa" w:w="2665"/>
          </w:tcPr>
          <w:p>
            <w:r>
              <w:rPr>
                <w:rFonts w:ascii="Calibri" w:hAnsi="Calibri"/>
                <w:b w:val="0"/>
                <w:i w:val="0"/>
                <w:color w:val="000000"/>
                <w:sz w:val="20"/>
              </w:rPr>
              <w:t>S. Petrova</w:t>
            </w:r>
          </w:p>
        </w:tc>
        <w:tc>
          <w:tcPr>
            <w:tcW w:type="dxa" w:w="2665"/>
          </w:tcPr>
          <w:p>
            <w:r>
              <w:rPr>
                <w:rFonts w:ascii="Calibri" w:hAnsi="Calibri"/>
                <w:b w:val="0"/>
                <w:i/>
                <w:color w:val="595959"/>
                <w:sz w:val="18"/>
              </w:rPr>
              <w:t>Во тек | Pending</w:t>
            </w:r>
          </w:p>
        </w:tc>
      </w:tr>
    </w:tbl>
    <w:p>
      <w:r>
        <w:br w:type="page"/>
      </w:r>
    </w:p>
    <w:p>
      <w:r>
        <w:rPr>
          <w:rFonts w:ascii="Calibri" w:hAnsi="Calibri"/>
          <w:b/>
          <w:i w:val="0"/>
          <w:color w:val="2B547E"/>
          <w:sz w:val="28"/>
        </w:rPr>
        <w:t>СОДРЖИНА | TABLE OF CONTENTS</w:t>
      </w:r>
    </w:p>
    <w:p>
      <w:r>
        <w:fldChar w:fldCharType="begin"/>
        <w:instrText xml:space="preserve"> TOC \o "1-3" \h \z \u </w:instrText>
        <w:fldChar w:fldCharType="separate"/>
      </w:r>
      <w:r>
        <w:t xml:space="preserve"> </w:t>
      </w:r>
      <w:r>
        <w:fldChar w:fldCharType="end"/>
      </w:r>
    </w:p>
    <w:p>
      <w:r>
        <w:rPr>
          <w:rFonts w:ascii="Calibri" w:hAnsi="Calibri"/>
          <w:b w:val="0"/>
          <w:i/>
          <w:color w:val="595959"/>
          <w:sz w:val="16"/>
        </w:rPr>
        <w:t>(TOC updates automatically on open; or right-click → Update Field)</w:t>
      </w:r>
    </w:p>
    <w:p>
      <w:r>
        <w:br w:type="page"/>
      </w:r>
    </w:p>
    <w:tbl>
      <w:tblPr>
        <w:tblW w:type="auto" w:w="0"/>
        <w:jc w:val="center"/>
        <w:tblLayout w:type="fixed"/>
        <w:tblLook w:firstColumn="1" w:firstRow="1" w:lastColumn="0" w:lastRow="0" w:noHBand="0" w:noVBand="1" w:val="04A0"/>
        <w:tblLayout w:type="fixed"/>
      </w:tblPr>
      <w:tblGrid>
        <w:gridCol w:w="5233"/>
        <w:gridCol w:w="5233"/>
      </w:tblGrid>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1.0 ЦЕЛ</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1.0 PURPOSE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Целта на оваа стандардна оперативна процедура (СОП) е да ги пропише активностите, одговорностите и контролите со кои секое движење на опојни дроги (медицински канабис во сите негови форми) по копнен (друмски) пат во рамките на Република Северна Македонија се изведува безбедно, под полициско придружување од Министерството за внатрешни работи, во пропишаните услови на температура и влага, со непрекинат ланец на надзор и со целосна следливост од испраќач до примач.</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purpose of this Standard Operating Procedure (SOP) is to prescribe the activities, responsibilities and controls by which every movement of narcotic drugs (medical cannabis in all its forms) by inland (road) transport within the Republic of North Macedonia is performed safely, under police escort by the Ministry of Interior Affairs, within the prescribed temperature and humidity conditions, with an unbroken chain of custody and with complete traceability from consignor to consignee.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Процедурата обезбедува: (а) интегритет на материјалот преку контролирано пакување на палети, означување и следење на условите; (б) безбедност и непрекинат ланец на надзор; (в) усогласеност со националните прописи за контрола на опојни дроги, вклучувајќи го барањето за полициско придружување и известувањето до Министерството за внатрешни работи и известувањето по транспортот до Министерството за здравство; и (г) следливост на секоја кеса, картон и палета до серијата, барањето и транспортниот настан, со систем целосно на хартија.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procedure ensures: (a) integrity of the material through controlled palletised packaging, labelling and condition monitoring; (b) security and an unbroken chain of custody; (c) compliance with the national narcotic-control regulations, including the request for police escort and notification to the Ministry of Interior Affairs and the post-transport notification to the Ministry of Health; and (d) traceability of every bag, carton and pallet to its batch, request and transport event, with an entirely paper-based system.</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2.0 ПОДРАЧЈЕ НА ПРИМЕНА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2.0 SCOPE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2.1 Применливост</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2.1 Applicability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Оваа СОП се применува на сите домашни копнени движења на опојни дроги на Пјурли Плант ДООЕЛ Скопје, извршени од договорен, квалификуван и овластен превозник (транспортна компанија), со возило и возач одредени во TRA, под придружба на полициски службеници на Министерството за внатрешни работи: (1) меѓупроизвод (ринфуз во кеси) и готов производ (сув цвет од канабис) до домашни примачи со дозвола; (2) пропагационен материјал (клонови и семе) меѓу локации; (3) последната делница по царинско ослободување до локацијата; и (4) отпад од канабис до овластено место за уништување.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This SOP applies to all domestic inland movements of narcotic drugs by Purely Plant DOOEL Skopje performed by a contracted, qualified and licensed carrier (transport company), with the vehicle and driver designated in the TRA, under escort by police officers of the Ministry of Interior Affairs: (1) intermediate (bulk in bags) and finished product (dried cannabis flower) to licensed domestic consignees; (2) propagation material (clones and seeds) between sites; (3) the final leg after customs clearance to the site; and (4) cannabis waste to an authorised destruction site.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Процедурата ги опфаќа: планирањето и процената на ризик, барањето за полициско придружување, пакувањето на палети, означувањето и листите на пакување, поставувањето на логерите, отпремата и ланецот на надзор, контролата во транзит, приемот, порамнувањето, известувањето по транспортот, архивирањето и управувањето со отстапувања.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procedure covers: planning and risk assessment, the request for police escort, palletised packaging, labelling and packing lists, logger placement, dispatch and chain of custody, in-transit control, receipt, reconciliation, post-transport notification, archiving and deviation management.</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2.2 Исклучоци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2.2 Exclusions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Оваа СОП не ги опфаќа: увозот и извозот (вклучително авио-транспорт и постапката во царински магацин), кои се регулирани со WHSOP_002; транспортот на мостри за контрола на квалитет до надворешни (договорни) лаборатории, регулиран со посебната СОП PP-QC-SOP-025; интерното движење на материјали во рамките на локацијата (WHSOP 001); и валидацијата на транспортните рути, возила и пакувања, која е регулирана со QASOP_0XX. Ангажирање на приватна обезбедувачка компанија не е предвидено со оваа СОП.</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This SOP does not cover: import and export (including air freight and the bonded-warehouse procedure), governed by WHSOP_002; the transport of quality-control samples to external (contracted) laboratories, governed by the separate SOP PP-QC-SOP-025; internal movement of materials within the site (WHSOP 001); and the validation of transport lanes, vehicles and packaging, governed by QASOP_0XX. The engagement of a private security company is not provided for by this SOP.</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2.3 Идно проширување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2.3 Future Scope Extension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Опсегот може да се прошири на нови возила, на нови форми на производ (екстракти, готови дозирани форми), на нови конфигурации на пакување, на нови рути и на електронски систем за следење, преку контрола на промени, ревизија на оваа СОП и квалификација согласно QASOP_0XX пред првата употреба.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The scope may be extended to new vehicles, new product forms (extracts, finished dosage forms), new packaging configurations, new lanes and an electronic tracking system, through change control, revision of this SOP and qualification per QASOP_0XX before first use.</w:t>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3.0 ОДГОВОРНОСТИ</w:t>
      </w:r>
      <w:r>
        <w:rPr>
          <w:rFonts w:ascii="Calibri" w:hAnsi="Calibri"/>
          <w:b w:val="0"/>
          <w:i w:val="0"/>
          <w:color w:val="000000"/>
          <w:sz w:val="24"/>
        </w:rPr>
        <w:tab/>
      </w:r>
      <w:r>
        <w:rPr>
          <w:rFonts w:ascii="Calibri" w:hAnsi="Calibri"/>
          <w:b/>
          <w:i w:val="0"/>
          <w:color w:val="595959"/>
          <w:sz w:val="24"/>
        </w:rPr>
        <w:t>3.0 RESPONSIBILITIES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3690"/>
        <w:gridCol w:w="510"/>
        <w:gridCol w:w="551"/>
        <w:gridCol w:w="1520"/>
        <w:gridCol w:w="1214"/>
        <w:gridCol w:w="1267"/>
        <w:gridCol w:w="1202"/>
        <w:gridCol w:w="510"/>
      </w:tblGrid>
      <w:tr>
        <w:trPr>
          <w:cantSplit/>
          <w:tblHeader w:val="true"/>
        </w:trPr>
        <w:tc>
          <w:tcPr>
            <w:shd w:val="clear" w:color="auto" w:fill="D9E2F3"/>
            <w:tcW w:type="dxa" w:w="3690"/>
          </w:tcPr>
          <w:p>
            <w:pPr>
              <w:keepNext/>
            </w:pPr>
            <w:r/>
            <w:r>
              <w:rPr>
                <w:rFonts w:ascii="Calibri" w:hAnsi="Calibri"/>
                <w:b/>
                <w:i w:val="0"/>
                <w:color w:val="000000"/>
                <w:sz w:val="18"/>
              </w:rPr>
              <w:t>Активност</w:t>
            </w:r>
            <w:r>
              <w:rPr>
                <w:rFonts w:ascii="Calibri" w:hAnsi="Calibri"/>
                <w:b w:val="0"/>
                <w:i w:val="0"/>
                <w:color w:val="000000"/>
                <w:sz w:val="14"/>
              </w:rPr>
              <w:t xml:space="preserve"> | </w:t>
            </w:r>
            <w:r>
              <w:rPr>
                <w:rFonts w:ascii="Calibri" w:hAnsi="Calibri"/>
                <w:b/>
                <w:i w:val="0"/>
                <w:color w:val="000000"/>
                <w:sz w:val="14"/>
              </w:rPr>
              <w:t>Activity</w:t>
            </w:r>
          </w:p>
        </w:tc>
        <w:tc>
          <w:tcPr>
            <w:shd w:val="clear" w:color="auto" w:fill="D9E2F3"/>
            <w:tcW w:type="dxa" w:w="510"/>
          </w:tcPr>
          <w:p>
            <w:pPr>
              <w:keepNext/>
            </w:pPr>
            <w:r/>
            <w:r>
              <w:rPr>
                <w:rFonts w:ascii="Calibri" w:hAnsi="Calibri"/>
                <w:b/>
                <w:i w:val="0"/>
                <w:color w:val="000000"/>
                <w:sz w:val="18"/>
              </w:rPr>
              <w:t>КК</w:t>
            </w:r>
            <w:r>
              <w:rPr>
                <w:rFonts w:ascii="Calibri" w:hAnsi="Calibri"/>
                <w:b w:val="0"/>
                <w:i w:val="0"/>
                <w:color w:val="000000"/>
                <w:sz w:val="14"/>
              </w:rPr>
              <w:t xml:space="preserve"> | </w:t>
            </w:r>
            <w:r>
              <w:rPr>
                <w:rFonts w:ascii="Calibri" w:hAnsi="Calibri"/>
                <w:b/>
                <w:i w:val="0"/>
                <w:color w:val="000000"/>
                <w:sz w:val="14"/>
              </w:rPr>
              <w:t>QC</w:t>
            </w:r>
          </w:p>
        </w:tc>
        <w:tc>
          <w:tcPr>
            <w:shd w:val="clear" w:color="auto" w:fill="D9E2F3"/>
            <w:tcW w:type="dxa" w:w="551"/>
          </w:tcPr>
          <w:p>
            <w:pPr>
              <w:keepNext/>
            </w:pPr>
            <w:r/>
            <w:r>
              <w:rPr>
                <w:rFonts w:ascii="Calibri" w:hAnsi="Calibri"/>
                <w:b/>
                <w:i w:val="0"/>
                <w:color w:val="000000"/>
                <w:sz w:val="18"/>
              </w:rPr>
              <w:t>QA</w:t>
            </w:r>
            <w:r>
              <w:rPr>
                <w:rFonts w:ascii="Calibri" w:hAnsi="Calibri"/>
                <w:b/>
                <w:i w:val="0"/>
                <w:color w:val="000000"/>
                <w:sz w:val="14"/>
              </w:rPr>
            </w:r>
          </w:p>
        </w:tc>
        <w:tc>
          <w:tcPr>
            <w:shd w:val="clear" w:color="auto" w:fill="D9E2F3"/>
            <w:tcW w:type="dxa" w:w="1520"/>
          </w:tcPr>
          <w:p>
            <w:pPr>
              <w:keepNext/>
            </w:pPr>
            <w:r/>
            <w:r>
              <w:rPr>
                <w:rFonts w:ascii="Calibri" w:hAnsi="Calibri"/>
                <w:b/>
                <w:i w:val="0"/>
                <w:color w:val="000000"/>
                <w:sz w:val="18"/>
              </w:rPr>
              <w:t>Обезбедување</w:t>
            </w:r>
            <w:r>
              <w:rPr>
                <w:rFonts w:ascii="Calibri" w:hAnsi="Calibri"/>
                <w:b w:val="0"/>
                <w:i w:val="0"/>
                <w:color w:val="000000"/>
                <w:sz w:val="14"/>
              </w:rPr>
              <w:t xml:space="preserve"> | </w:t>
            </w:r>
            <w:r>
              <w:rPr>
                <w:rFonts w:ascii="Calibri" w:hAnsi="Calibri"/>
                <w:b/>
                <w:i w:val="0"/>
                <w:color w:val="000000"/>
                <w:sz w:val="14"/>
              </w:rPr>
              <w:t>Security</w:t>
            </w:r>
          </w:p>
        </w:tc>
        <w:tc>
          <w:tcPr>
            <w:shd w:val="clear" w:color="auto" w:fill="D9E2F3"/>
            <w:tcW w:type="dxa" w:w="1214"/>
          </w:tcPr>
          <w:p>
            <w:pPr>
              <w:keepNext/>
            </w:pPr>
            <w:r/>
            <w:r>
              <w:rPr>
                <w:rFonts w:ascii="Calibri" w:hAnsi="Calibri"/>
                <w:b/>
                <w:i w:val="0"/>
                <w:color w:val="000000"/>
                <w:sz w:val="18"/>
              </w:rPr>
              <w:t>Логистика</w:t>
            </w:r>
            <w:r>
              <w:rPr>
                <w:rFonts w:ascii="Calibri" w:hAnsi="Calibri"/>
                <w:b w:val="0"/>
                <w:i w:val="0"/>
                <w:color w:val="000000"/>
                <w:sz w:val="14"/>
              </w:rPr>
              <w:t xml:space="preserve"> | </w:t>
            </w:r>
            <w:r>
              <w:rPr>
                <w:rFonts w:ascii="Calibri" w:hAnsi="Calibri"/>
                <w:b/>
                <w:i w:val="0"/>
                <w:color w:val="000000"/>
                <w:sz w:val="14"/>
              </w:rPr>
              <w:t>Logistics</w:t>
            </w:r>
          </w:p>
        </w:tc>
        <w:tc>
          <w:tcPr>
            <w:shd w:val="clear" w:color="auto" w:fill="D9E2F3"/>
            <w:tcW w:type="dxa" w:w="1267"/>
          </w:tcPr>
          <w:p>
            <w:pPr>
              <w:keepNext/>
            </w:pPr>
            <w:r/>
            <w:r>
              <w:rPr>
                <w:rFonts w:ascii="Calibri" w:hAnsi="Calibri"/>
                <w:b/>
                <w:i w:val="0"/>
                <w:color w:val="000000"/>
                <w:sz w:val="18"/>
              </w:rPr>
              <w:t>Превозник (возач)</w:t>
            </w:r>
            <w:r>
              <w:rPr>
                <w:rFonts w:ascii="Calibri" w:hAnsi="Calibri"/>
                <w:b w:val="0"/>
                <w:i w:val="0"/>
                <w:color w:val="000000"/>
                <w:sz w:val="14"/>
              </w:rPr>
              <w:t xml:space="preserve"> | </w:t>
            </w:r>
            <w:r>
              <w:rPr>
                <w:rFonts w:ascii="Calibri" w:hAnsi="Calibri"/>
                <w:b/>
                <w:i w:val="0"/>
                <w:color w:val="000000"/>
                <w:sz w:val="14"/>
              </w:rPr>
              <w:t>Carrier (driver)</w:t>
            </w:r>
          </w:p>
        </w:tc>
        <w:tc>
          <w:tcPr>
            <w:shd w:val="clear" w:color="auto" w:fill="D9E2F3"/>
            <w:tcW w:type="dxa" w:w="1202"/>
          </w:tcPr>
          <w:p>
            <w:pPr>
              <w:keepNext/>
            </w:pPr>
            <w:r/>
            <w:r>
              <w:rPr>
                <w:rFonts w:ascii="Calibri" w:hAnsi="Calibri"/>
                <w:b/>
                <w:i w:val="0"/>
                <w:color w:val="000000"/>
                <w:sz w:val="18"/>
              </w:rPr>
              <w:t>Примач</w:t>
            </w:r>
            <w:r>
              <w:rPr>
                <w:rFonts w:ascii="Calibri" w:hAnsi="Calibri"/>
                <w:b w:val="0"/>
                <w:i w:val="0"/>
                <w:color w:val="000000"/>
                <w:sz w:val="14"/>
              </w:rPr>
              <w:t xml:space="preserve"> | </w:t>
            </w:r>
            <w:r>
              <w:rPr>
                <w:rFonts w:ascii="Calibri" w:hAnsi="Calibri"/>
                <w:b/>
                <w:i w:val="0"/>
                <w:color w:val="000000"/>
                <w:sz w:val="14"/>
              </w:rPr>
              <w:t>Consignee</w:t>
            </w:r>
          </w:p>
        </w:tc>
        <w:tc>
          <w:tcPr>
            <w:shd w:val="clear" w:color="auto" w:fill="D9E2F3"/>
            <w:tcW w:type="dxa" w:w="510"/>
          </w:tcPr>
          <w:p>
            <w:pPr>
              <w:keepNext/>
            </w:pPr>
            <w:r/>
            <w:r>
              <w:rPr>
                <w:rFonts w:ascii="Calibri" w:hAnsi="Calibri"/>
                <w:b/>
                <w:i w:val="0"/>
                <w:color w:val="000000"/>
                <w:sz w:val="18"/>
              </w:rPr>
              <w:t>QP</w:t>
            </w:r>
            <w:r>
              <w:rPr>
                <w:rFonts w:ascii="Calibri" w:hAnsi="Calibri"/>
                <w:b/>
                <w:i w:val="0"/>
                <w:color w:val="000000"/>
                <w:sz w:val="14"/>
              </w:rPr>
            </w:r>
          </w:p>
        </w:tc>
      </w:tr>
      <w:tr>
        <w:trPr>
          <w:cantSplit/>
        </w:trPr>
        <w:tc>
          <w:tcPr>
            <w:tcW w:type="dxa" w:w="3690"/>
          </w:tcPr>
          <w:p>
            <w:pPr>
              <w:keepNext/>
            </w:pPr>
            <w:r/>
            <w:r>
              <w:rPr>
                <w:rFonts w:ascii="Calibri" w:hAnsi="Calibri"/>
                <w:b w:val="0"/>
                <w:i w:val="0"/>
                <w:color w:val="000000"/>
                <w:sz w:val="18"/>
              </w:rPr>
              <w:t>Планирање и TRA</w:t>
            </w:r>
            <w:r>
              <w:rPr>
                <w:rFonts w:ascii="Calibri" w:hAnsi="Calibri"/>
                <w:b w:val="0"/>
                <w:i w:val="0"/>
                <w:color w:val="000000"/>
                <w:sz w:val="14"/>
              </w:rPr>
              <w:t xml:space="preserve"> | </w:t>
            </w:r>
            <w:r>
              <w:rPr>
                <w:rFonts w:ascii="Calibri" w:hAnsi="Calibri"/>
                <w:b w:val="0"/>
                <w:i w:val="0"/>
                <w:color w:val="000000"/>
                <w:sz w:val="14"/>
              </w:rPr>
              <w:t>Planning and TRA</w:t>
            </w:r>
          </w:p>
        </w:tc>
        <w:tc>
          <w:tcPr>
            <w:tcW w:type="dxa" w:w="510"/>
          </w:tcPr>
          <w:p>
            <w:pPr>
              <w:keepNext/>
            </w:pPr>
            <w:r/>
            <w:r>
              <w:rPr>
                <w:rFonts w:ascii="Calibri" w:hAnsi="Calibri"/>
                <w:b w:val="0"/>
                <w:i w:val="0"/>
                <w:color w:val="000000"/>
                <w:sz w:val="18"/>
              </w:rPr>
              <w:t>C</w:t>
            </w:r>
            <w:r>
              <w:rPr>
                <w:rFonts w:ascii="Calibri" w:hAnsi="Calibri"/>
                <w:b w:val="0"/>
                <w:i w:val="0"/>
                <w:color w:val="000000"/>
                <w:sz w:val="14"/>
              </w:rPr>
            </w:r>
          </w:p>
        </w:tc>
        <w:tc>
          <w:tcPr>
            <w:tcW w:type="dxa" w:w="551"/>
          </w:tcPr>
          <w:p>
            <w:pPr>
              <w:keepNext/>
            </w:pPr>
            <w:r/>
            <w:r>
              <w:rPr>
                <w:rFonts w:ascii="Calibri" w:hAnsi="Calibri"/>
                <w:b w:val="0"/>
                <w:i w:val="0"/>
                <w:color w:val="000000"/>
                <w:sz w:val="18"/>
              </w:rPr>
              <w:t>A</w:t>
            </w:r>
            <w:r>
              <w:rPr>
                <w:rFonts w:ascii="Calibri" w:hAnsi="Calibri"/>
                <w:b w:val="0"/>
                <w:i w:val="0"/>
                <w:color w:val="000000"/>
                <w:sz w:val="14"/>
              </w:rPr>
            </w:r>
          </w:p>
        </w:tc>
        <w:tc>
          <w:tcPr>
            <w:tcW w:type="dxa" w:w="1520"/>
          </w:tcPr>
          <w:p>
            <w:pPr>
              <w:keepNext/>
            </w:pPr>
            <w:r/>
            <w:r>
              <w:rPr>
                <w:rFonts w:ascii="Calibri" w:hAnsi="Calibri"/>
                <w:b w:val="0"/>
                <w:i w:val="0"/>
                <w:color w:val="000000"/>
                <w:sz w:val="18"/>
              </w:rPr>
              <w:t>R</w:t>
            </w:r>
            <w:r>
              <w:rPr>
                <w:rFonts w:ascii="Calibri" w:hAnsi="Calibri"/>
                <w:b w:val="0"/>
                <w:i w:val="0"/>
                <w:color w:val="000000"/>
                <w:sz w:val="14"/>
              </w:rPr>
            </w:r>
          </w:p>
        </w:tc>
        <w:tc>
          <w:tcPr>
            <w:tcW w:type="dxa" w:w="1214"/>
          </w:tcPr>
          <w:p>
            <w:pPr>
              <w:keepNext/>
            </w:pPr>
            <w:r/>
            <w:r>
              <w:rPr>
                <w:rFonts w:ascii="Calibri" w:hAnsi="Calibri"/>
                <w:b w:val="0"/>
                <w:i w:val="0"/>
                <w:color w:val="000000"/>
                <w:sz w:val="18"/>
              </w:rPr>
              <w:t>R</w:t>
            </w:r>
            <w:r>
              <w:rPr>
                <w:rFonts w:ascii="Calibri" w:hAnsi="Calibri"/>
                <w:b w:val="0"/>
                <w:i w:val="0"/>
                <w:color w:val="000000"/>
                <w:sz w:val="14"/>
              </w:rPr>
            </w:r>
          </w:p>
        </w:tc>
        <w:tc>
          <w:tcPr>
            <w:tcW w:type="dxa" w:w="1267"/>
          </w:tcPr>
          <w:p>
            <w:pPr>
              <w:keepNext/>
            </w:pPr>
            <w:r/>
            <w:r>
              <w:rPr>
                <w:rFonts w:ascii="Calibri" w:hAnsi="Calibri"/>
                <w:b w:val="0"/>
                <w:i w:val="0"/>
                <w:color w:val="000000"/>
                <w:sz w:val="18"/>
              </w:rPr>
              <w:t>I</w:t>
            </w:r>
            <w:r>
              <w:rPr>
                <w:rFonts w:ascii="Calibri" w:hAnsi="Calibri"/>
                <w:b w:val="0"/>
                <w:i w:val="0"/>
                <w:color w:val="000000"/>
                <w:sz w:val="14"/>
              </w:rPr>
            </w:r>
          </w:p>
        </w:tc>
        <w:tc>
          <w:tcPr>
            <w:tcW w:type="dxa" w:w="1202"/>
          </w:tcPr>
          <w:p>
            <w:pPr>
              <w:keepNext/>
            </w:pPr>
            <w:r/>
            <w:r>
              <w:rPr>
                <w:rFonts w:ascii="Calibri" w:hAnsi="Calibri"/>
                <w:b w:val="0"/>
                <w:i w:val="0"/>
                <w:color w:val="000000"/>
                <w:sz w:val="18"/>
              </w:rPr>
              <w:t>I</w:t>
            </w:r>
            <w:r>
              <w:rPr>
                <w:rFonts w:ascii="Calibri" w:hAnsi="Calibri"/>
                <w:b w:val="0"/>
                <w:i w:val="0"/>
                <w:color w:val="000000"/>
                <w:sz w:val="14"/>
              </w:rPr>
            </w:r>
          </w:p>
        </w:tc>
        <w:tc>
          <w:tcPr>
            <w:tcW w:type="dxa" w:w="510"/>
          </w:tcPr>
          <w:p>
            <w:pPr>
              <w:keepNext/>
            </w:pPr>
            <w:r/>
            <w:r>
              <w:rPr>
                <w:rFonts w:ascii="Calibri" w:hAnsi="Calibri"/>
                <w:b w:val="0"/>
                <w:i w:val="0"/>
                <w:color w:val="000000"/>
                <w:sz w:val="18"/>
              </w:rPr>
              <w:t>I</w:t>
            </w:r>
            <w:r>
              <w:rPr>
                <w:rFonts w:ascii="Calibri" w:hAnsi="Calibri"/>
                <w:b w:val="0"/>
                <w:i w:val="0"/>
                <w:color w:val="000000"/>
                <w:sz w:val="14"/>
              </w:rPr>
            </w:r>
          </w:p>
        </w:tc>
      </w:tr>
      <w:tr>
        <w:trPr>
          <w:cantSplit/>
        </w:trPr>
        <w:tc>
          <w:tcPr>
            <w:tcW w:type="dxa" w:w="3690"/>
          </w:tcPr>
          <w:p>
            <w:pPr>
              <w:keepNext/>
            </w:pPr>
            <w:r/>
            <w:r>
              <w:rPr>
                <w:rFonts w:ascii="Calibri" w:hAnsi="Calibri"/>
                <w:b w:val="0"/>
                <w:i w:val="0"/>
                <w:color w:val="000000"/>
                <w:sz w:val="18"/>
              </w:rPr>
              <w:t>Барање за полициско придружување (МВР)</w:t>
            </w:r>
            <w:r>
              <w:rPr>
                <w:rFonts w:ascii="Calibri" w:hAnsi="Calibri"/>
                <w:b w:val="0"/>
                <w:i w:val="0"/>
                <w:color w:val="000000"/>
                <w:sz w:val="14"/>
              </w:rPr>
              <w:t xml:space="preserve"> | </w:t>
            </w:r>
            <w:r>
              <w:rPr>
                <w:rFonts w:ascii="Calibri" w:hAnsi="Calibri"/>
                <w:b w:val="0"/>
                <w:i w:val="0"/>
                <w:color w:val="000000"/>
                <w:sz w:val="14"/>
              </w:rPr>
              <w:t>Request for police escort (MoIA)</w:t>
            </w:r>
          </w:p>
        </w:tc>
        <w:tc>
          <w:tcPr>
            <w:tcW w:type="dxa" w:w="510"/>
          </w:tcPr>
          <w:p>
            <w:pPr>
              <w:keepNext/>
            </w:pPr>
            <w:r/>
            <w:r>
              <w:rPr>
                <w:rFonts w:ascii="Calibri" w:hAnsi="Calibri"/>
                <w:b w:val="0"/>
                <w:i w:val="0"/>
                <w:color w:val="000000"/>
                <w:sz w:val="18"/>
              </w:rPr>
              <w:t>I</w:t>
            </w:r>
            <w:r>
              <w:rPr>
                <w:rFonts w:ascii="Calibri" w:hAnsi="Calibri"/>
                <w:b w:val="0"/>
                <w:i w:val="0"/>
                <w:color w:val="000000"/>
                <w:sz w:val="14"/>
              </w:rPr>
            </w:r>
          </w:p>
        </w:tc>
        <w:tc>
          <w:tcPr>
            <w:tcW w:type="dxa" w:w="551"/>
          </w:tcPr>
          <w:p>
            <w:pPr>
              <w:keepNext/>
            </w:pPr>
            <w:r/>
            <w:r>
              <w:rPr>
                <w:rFonts w:ascii="Calibri" w:hAnsi="Calibri"/>
                <w:b w:val="0"/>
                <w:i w:val="0"/>
                <w:color w:val="000000"/>
                <w:sz w:val="18"/>
              </w:rPr>
              <w:t>C</w:t>
            </w:r>
            <w:r>
              <w:rPr>
                <w:rFonts w:ascii="Calibri" w:hAnsi="Calibri"/>
                <w:b w:val="0"/>
                <w:i w:val="0"/>
                <w:color w:val="000000"/>
                <w:sz w:val="14"/>
              </w:rPr>
            </w:r>
          </w:p>
        </w:tc>
        <w:tc>
          <w:tcPr>
            <w:tcW w:type="dxa" w:w="1520"/>
          </w:tcPr>
          <w:p>
            <w:pPr>
              <w:keepNext/>
            </w:pPr>
            <w:r/>
            <w:r>
              <w:rPr>
                <w:rFonts w:ascii="Calibri" w:hAnsi="Calibri"/>
                <w:b w:val="0"/>
                <w:i w:val="0"/>
                <w:color w:val="000000"/>
                <w:sz w:val="18"/>
              </w:rPr>
              <w:t>A/R</w:t>
            </w:r>
            <w:r>
              <w:rPr>
                <w:rFonts w:ascii="Calibri" w:hAnsi="Calibri"/>
                <w:b w:val="0"/>
                <w:i w:val="0"/>
                <w:color w:val="000000"/>
                <w:sz w:val="14"/>
              </w:rPr>
            </w:r>
          </w:p>
        </w:tc>
        <w:tc>
          <w:tcPr>
            <w:tcW w:type="dxa" w:w="1214"/>
          </w:tcPr>
          <w:p>
            <w:pPr>
              <w:keepNext/>
            </w:pPr>
            <w:r/>
            <w:r>
              <w:rPr>
                <w:rFonts w:ascii="Calibri" w:hAnsi="Calibri"/>
                <w:b w:val="0"/>
                <w:i w:val="0"/>
                <w:color w:val="000000"/>
                <w:sz w:val="18"/>
              </w:rPr>
              <w:t>C</w:t>
            </w:r>
            <w:r>
              <w:rPr>
                <w:rFonts w:ascii="Calibri" w:hAnsi="Calibri"/>
                <w:b w:val="0"/>
                <w:i w:val="0"/>
                <w:color w:val="000000"/>
                <w:sz w:val="14"/>
              </w:rPr>
            </w:r>
          </w:p>
        </w:tc>
        <w:tc>
          <w:tcPr>
            <w:tcW w:type="dxa" w:w="1267"/>
          </w:tcPr>
          <w:p>
            <w:pPr>
              <w:keepNext/>
            </w:pPr>
            <w:r/>
            <w:r>
              <w:rPr>
                <w:rFonts w:ascii="Calibri" w:hAnsi="Calibri"/>
                <w:b w:val="0"/>
                <w:i w:val="0"/>
                <w:color w:val="000000"/>
                <w:sz w:val="18"/>
              </w:rPr>
              <w:t>I</w:t>
            </w:r>
            <w:r>
              <w:rPr>
                <w:rFonts w:ascii="Calibri" w:hAnsi="Calibri"/>
                <w:b w:val="0"/>
                <w:i w:val="0"/>
                <w:color w:val="000000"/>
                <w:sz w:val="14"/>
              </w:rPr>
            </w:r>
          </w:p>
        </w:tc>
        <w:tc>
          <w:tcPr>
            <w:tcW w:type="dxa" w:w="1202"/>
          </w:tcPr>
          <w:p>
            <w:pPr>
              <w:keepNext/>
            </w:pPr>
            <w:r/>
            <w:r>
              <w:rPr>
                <w:rFonts w:ascii="Calibri" w:hAnsi="Calibri"/>
                <w:b w:val="0"/>
                <w:i w:val="0"/>
                <w:color w:val="000000"/>
                <w:sz w:val="18"/>
              </w:rPr>
              <w:t>—</w:t>
            </w:r>
            <w:r>
              <w:rPr>
                <w:rFonts w:ascii="Calibri" w:hAnsi="Calibri"/>
                <w:b w:val="0"/>
                <w:i w:val="0"/>
                <w:color w:val="000000"/>
                <w:sz w:val="14"/>
              </w:rPr>
            </w:r>
          </w:p>
        </w:tc>
        <w:tc>
          <w:tcPr>
            <w:tcW w:type="dxa" w:w="510"/>
          </w:tcPr>
          <w:p>
            <w:pPr>
              <w:keepNext/>
            </w:pPr>
            <w:r/>
            <w:r>
              <w:rPr>
                <w:rFonts w:ascii="Calibri" w:hAnsi="Calibri"/>
                <w:b w:val="0"/>
                <w:i w:val="0"/>
                <w:color w:val="000000"/>
                <w:sz w:val="18"/>
              </w:rPr>
              <w:t>I</w:t>
            </w:r>
            <w:r>
              <w:rPr>
                <w:rFonts w:ascii="Calibri" w:hAnsi="Calibri"/>
                <w:b w:val="0"/>
                <w:i w:val="0"/>
                <w:color w:val="000000"/>
                <w:sz w:val="14"/>
              </w:rPr>
            </w:r>
          </w:p>
        </w:tc>
      </w:tr>
      <w:tr>
        <w:trPr>
          <w:cantSplit/>
        </w:trPr>
        <w:tc>
          <w:tcPr>
            <w:tcW w:type="dxa" w:w="3690"/>
          </w:tcPr>
          <w:p>
            <w:r/>
            <w:r>
              <w:rPr>
                <w:rFonts w:ascii="Calibri" w:hAnsi="Calibri"/>
                <w:b w:val="0"/>
                <w:i w:val="0"/>
                <w:color w:val="000000"/>
                <w:sz w:val="18"/>
              </w:rPr>
              <w:t>Пакување на палети, етикети, листи на пакување</w:t>
            </w:r>
            <w:r>
              <w:rPr>
                <w:rFonts w:ascii="Calibri" w:hAnsi="Calibri"/>
                <w:b w:val="0"/>
                <w:i w:val="0"/>
                <w:color w:val="000000"/>
                <w:sz w:val="14"/>
              </w:rPr>
              <w:t xml:space="preserve"> | </w:t>
            </w:r>
            <w:r>
              <w:rPr>
                <w:rFonts w:ascii="Calibri" w:hAnsi="Calibri"/>
                <w:b w:val="0"/>
                <w:i w:val="0"/>
                <w:color w:val="000000"/>
                <w:sz w:val="14"/>
              </w:rPr>
              <w:t>Palletising, labels, packing lists</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51"/>
          </w:tcPr>
          <w:p>
            <w:r/>
            <w:r>
              <w:rPr>
                <w:rFonts w:ascii="Calibri" w:hAnsi="Calibri"/>
                <w:b w:val="0"/>
                <w:i w:val="0"/>
                <w:color w:val="000000"/>
                <w:sz w:val="18"/>
              </w:rPr>
              <w:t>I</w:t>
            </w:r>
            <w:r>
              <w:rPr>
                <w:rFonts w:ascii="Calibri" w:hAnsi="Calibri"/>
                <w:b w:val="0"/>
                <w:i w:val="0"/>
                <w:color w:val="000000"/>
                <w:sz w:val="14"/>
              </w:rPr>
            </w:r>
          </w:p>
        </w:tc>
        <w:tc>
          <w:tcPr>
            <w:tcW w:type="dxa" w:w="1520"/>
          </w:tcPr>
          <w:p>
            <w:r/>
            <w:r>
              <w:rPr>
                <w:rFonts w:ascii="Calibri" w:hAnsi="Calibri"/>
                <w:b w:val="0"/>
                <w:i w:val="0"/>
                <w:color w:val="000000"/>
                <w:sz w:val="18"/>
              </w:rPr>
              <w:t>I</w:t>
            </w:r>
            <w:r>
              <w:rPr>
                <w:rFonts w:ascii="Calibri" w:hAnsi="Calibri"/>
                <w:b w:val="0"/>
                <w:i w:val="0"/>
                <w:color w:val="000000"/>
                <w:sz w:val="14"/>
              </w:rPr>
            </w:r>
          </w:p>
        </w:tc>
        <w:tc>
          <w:tcPr>
            <w:tcW w:type="dxa" w:w="1214"/>
          </w:tcPr>
          <w:p>
            <w:r/>
            <w:r>
              <w:rPr>
                <w:rFonts w:ascii="Calibri" w:hAnsi="Calibri"/>
                <w:b w:val="0"/>
                <w:i w:val="0"/>
                <w:color w:val="000000"/>
                <w:sz w:val="18"/>
              </w:rPr>
              <w:t>A/R</w:t>
            </w:r>
            <w:r>
              <w:rPr>
                <w:rFonts w:ascii="Calibri" w:hAnsi="Calibri"/>
                <w:b w:val="0"/>
                <w:i w:val="0"/>
                <w:color w:val="000000"/>
                <w:sz w:val="14"/>
              </w:rPr>
            </w:r>
          </w:p>
        </w:tc>
        <w:tc>
          <w:tcPr>
            <w:tcW w:type="dxa" w:w="1267"/>
          </w:tcPr>
          <w:p>
            <w:r/>
            <w:r>
              <w:rPr>
                <w:rFonts w:ascii="Calibri" w:hAnsi="Calibri"/>
                <w:b w:val="0"/>
                <w:i w:val="0"/>
                <w:color w:val="000000"/>
                <w:sz w:val="18"/>
              </w:rPr>
              <w:t>—</w:t>
            </w:r>
            <w:r>
              <w:rPr>
                <w:rFonts w:ascii="Calibri" w:hAnsi="Calibri"/>
                <w:b w:val="0"/>
                <w:i w:val="0"/>
                <w:color w:val="000000"/>
                <w:sz w:val="14"/>
              </w:rPr>
            </w:r>
          </w:p>
        </w:tc>
        <w:tc>
          <w:tcPr>
            <w:tcW w:type="dxa" w:w="1202"/>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90"/>
          </w:tcPr>
          <w:p>
            <w:r/>
            <w:r>
              <w:rPr>
                <w:rFonts w:ascii="Calibri" w:hAnsi="Calibri"/>
                <w:b w:val="0"/>
                <w:i w:val="0"/>
                <w:color w:val="000000"/>
                <w:sz w:val="18"/>
              </w:rPr>
              <w:t>Поставување на логерите</w:t>
            </w:r>
            <w:r>
              <w:rPr>
                <w:rFonts w:ascii="Calibri" w:hAnsi="Calibri"/>
                <w:b w:val="0"/>
                <w:i w:val="0"/>
                <w:color w:val="000000"/>
                <w:sz w:val="14"/>
              </w:rPr>
              <w:t xml:space="preserve"> | </w:t>
            </w:r>
            <w:r>
              <w:rPr>
                <w:rFonts w:ascii="Calibri" w:hAnsi="Calibri"/>
                <w:b w:val="0"/>
                <w:i w:val="0"/>
                <w:color w:val="000000"/>
                <w:sz w:val="14"/>
              </w:rPr>
              <w:t>Logger placement</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51"/>
          </w:tcPr>
          <w:p>
            <w:r/>
            <w:r>
              <w:rPr>
                <w:rFonts w:ascii="Calibri" w:hAnsi="Calibri"/>
                <w:b w:val="0"/>
                <w:i w:val="0"/>
                <w:color w:val="000000"/>
                <w:sz w:val="18"/>
              </w:rPr>
              <w:t>A</w:t>
            </w:r>
            <w:r>
              <w:rPr>
                <w:rFonts w:ascii="Calibri" w:hAnsi="Calibri"/>
                <w:b w:val="0"/>
                <w:i w:val="0"/>
                <w:color w:val="000000"/>
                <w:sz w:val="14"/>
              </w:rPr>
            </w:r>
          </w:p>
        </w:tc>
        <w:tc>
          <w:tcPr>
            <w:tcW w:type="dxa" w:w="1520"/>
          </w:tcPr>
          <w:p>
            <w:r/>
            <w:r>
              <w:rPr>
                <w:rFonts w:ascii="Calibri" w:hAnsi="Calibri"/>
                <w:b w:val="0"/>
                <w:i w:val="0"/>
                <w:color w:val="000000"/>
                <w:sz w:val="18"/>
              </w:rPr>
              <w:t>—</w:t>
            </w:r>
            <w:r>
              <w:rPr>
                <w:rFonts w:ascii="Calibri" w:hAnsi="Calibri"/>
                <w:b w:val="0"/>
                <w:i w:val="0"/>
                <w:color w:val="000000"/>
                <w:sz w:val="14"/>
              </w:rPr>
            </w:r>
          </w:p>
        </w:tc>
        <w:tc>
          <w:tcPr>
            <w:tcW w:type="dxa" w:w="1214"/>
          </w:tcPr>
          <w:p>
            <w:r/>
            <w:r>
              <w:rPr>
                <w:rFonts w:ascii="Calibri" w:hAnsi="Calibri"/>
                <w:b w:val="0"/>
                <w:i w:val="0"/>
                <w:color w:val="000000"/>
                <w:sz w:val="18"/>
              </w:rPr>
              <w:t>R</w:t>
            </w:r>
            <w:r>
              <w:rPr>
                <w:rFonts w:ascii="Calibri" w:hAnsi="Calibri"/>
                <w:b w:val="0"/>
                <w:i w:val="0"/>
                <w:color w:val="000000"/>
                <w:sz w:val="14"/>
              </w:rPr>
            </w:r>
          </w:p>
        </w:tc>
        <w:tc>
          <w:tcPr>
            <w:tcW w:type="dxa" w:w="1267"/>
          </w:tcPr>
          <w:p>
            <w:r/>
            <w:r>
              <w:rPr>
                <w:rFonts w:ascii="Calibri" w:hAnsi="Calibri"/>
                <w:b w:val="0"/>
                <w:i w:val="0"/>
                <w:color w:val="000000"/>
                <w:sz w:val="18"/>
              </w:rPr>
              <w:t>—</w:t>
            </w:r>
            <w:r>
              <w:rPr>
                <w:rFonts w:ascii="Calibri" w:hAnsi="Calibri"/>
                <w:b w:val="0"/>
                <w:i w:val="0"/>
                <w:color w:val="000000"/>
                <w:sz w:val="14"/>
              </w:rPr>
            </w:r>
          </w:p>
        </w:tc>
        <w:tc>
          <w:tcPr>
            <w:tcW w:type="dxa" w:w="1202"/>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90"/>
          </w:tcPr>
          <w:p>
            <w:r/>
            <w:r>
              <w:rPr>
                <w:rFonts w:ascii="Calibri" w:hAnsi="Calibri"/>
                <w:b w:val="0"/>
                <w:i w:val="0"/>
                <w:color w:val="000000"/>
                <w:sz w:val="18"/>
              </w:rPr>
              <w:t>Отпрема и ланец на надзор</w:t>
            </w:r>
            <w:r>
              <w:rPr>
                <w:rFonts w:ascii="Calibri" w:hAnsi="Calibri"/>
                <w:b w:val="0"/>
                <w:i w:val="0"/>
                <w:color w:val="000000"/>
                <w:sz w:val="14"/>
              </w:rPr>
              <w:t xml:space="preserve"> | </w:t>
            </w:r>
            <w:r>
              <w:rPr>
                <w:rFonts w:ascii="Calibri" w:hAnsi="Calibri"/>
                <w:b w:val="0"/>
                <w:i w:val="0"/>
                <w:color w:val="000000"/>
                <w:sz w:val="14"/>
              </w:rPr>
              <w:t>Dispatch and chain of custody</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51"/>
          </w:tcPr>
          <w:p>
            <w:r/>
            <w:r>
              <w:rPr>
                <w:rFonts w:ascii="Calibri" w:hAnsi="Calibri"/>
                <w:b w:val="0"/>
                <w:i w:val="0"/>
                <w:color w:val="000000"/>
                <w:sz w:val="18"/>
              </w:rPr>
              <w:t>I</w:t>
            </w:r>
            <w:r>
              <w:rPr>
                <w:rFonts w:ascii="Calibri" w:hAnsi="Calibri"/>
                <w:b w:val="0"/>
                <w:i w:val="0"/>
                <w:color w:val="000000"/>
                <w:sz w:val="14"/>
              </w:rPr>
            </w:r>
          </w:p>
        </w:tc>
        <w:tc>
          <w:tcPr>
            <w:tcW w:type="dxa" w:w="1520"/>
          </w:tcPr>
          <w:p>
            <w:r/>
            <w:r>
              <w:rPr>
                <w:rFonts w:ascii="Calibri" w:hAnsi="Calibri"/>
                <w:b w:val="0"/>
                <w:i w:val="0"/>
                <w:color w:val="000000"/>
                <w:sz w:val="18"/>
              </w:rPr>
              <w:t>A</w:t>
            </w:r>
            <w:r>
              <w:rPr>
                <w:rFonts w:ascii="Calibri" w:hAnsi="Calibri"/>
                <w:b w:val="0"/>
                <w:i w:val="0"/>
                <w:color w:val="000000"/>
                <w:sz w:val="14"/>
              </w:rPr>
            </w:r>
          </w:p>
        </w:tc>
        <w:tc>
          <w:tcPr>
            <w:tcW w:type="dxa" w:w="1214"/>
          </w:tcPr>
          <w:p>
            <w:r/>
            <w:r>
              <w:rPr>
                <w:rFonts w:ascii="Calibri" w:hAnsi="Calibri"/>
                <w:b w:val="0"/>
                <w:i w:val="0"/>
                <w:color w:val="000000"/>
                <w:sz w:val="18"/>
              </w:rPr>
              <w:t>R</w:t>
            </w:r>
            <w:r>
              <w:rPr>
                <w:rFonts w:ascii="Calibri" w:hAnsi="Calibri"/>
                <w:b w:val="0"/>
                <w:i w:val="0"/>
                <w:color w:val="000000"/>
                <w:sz w:val="14"/>
              </w:rPr>
            </w:r>
          </w:p>
        </w:tc>
        <w:tc>
          <w:tcPr>
            <w:tcW w:type="dxa" w:w="1267"/>
          </w:tcPr>
          <w:p>
            <w:r/>
            <w:r>
              <w:rPr>
                <w:rFonts w:ascii="Calibri" w:hAnsi="Calibri"/>
                <w:b w:val="0"/>
                <w:i w:val="0"/>
                <w:color w:val="000000"/>
                <w:sz w:val="18"/>
              </w:rPr>
              <w:t>R</w:t>
            </w:r>
            <w:r>
              <w:rPr>
                <w:rFonts w:ascii="Calibri" w:hAnsi="Calibri"/>
                <w:b w:val="0"/>
                <w:i w:val="0"/>
                <w:color w:val="000000"/>
                <w:sz w:val="14"/>
              </w:rPr>
            </w:r>
          </w:p>
        </w:tc>
        <w:tc>
          <w:tcPr>
            <w:tcW w:type="dxa" w:w="1202"/>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90"/>
          </w:tcPr>
          <w:p>
            <w:r/>
            <w:r>
              <w:rPr>
                <w:rFonts w:ascii="Calibri" w:hAnsi="Calibri"/>
                <w:b w:val="0"/>
                <w:i w:val="0"/>
                <w:color w:val="000000"/>
                <w:sz w:val="18"/>
              </w:rPr>
              <w:t>Контрола во транзит</w:t>
            </w:r>
            <w:r>
              <w:rPr>
                <w:rFonts w:ascii="Calibri" w:hAnsi="Calibri"/>
                <w:b w:val="0"/>
                <w:i w:val="0"/>
                <w:color w:val="000000"/>
                <w:sz w:val="14"/>
              </w:rPr>
              <w:t xml:space="preserve"> | </w:t>
            </w:r>
            <w:r>
              <w:rPr>
                <w:rFonts w:ascii="Calibri" w:hAnsi="Calibri"/>
                <w:b w:val="0"/>
                <w:i w:val="0"/>
                <w:color w:val="000000"/>
                <w:sz w:val="14"/>
              </w:rPr>
              <w:t>In-transit control</w:t>
            </w:r>
          </w:p>
        </w:tc>
        <w:tc>
          <w:tcPr>
            <w:tcW w:type="dxa" w:w="510"/>
          </w:tcPr>
          <w:p>
            <w:r/>
            <w:r>
              <w:rPr>
                <w:rFonts w:ascii="Calibri" w:hAnsi="Calibri"/>
                <w:b w:val="0"/>
                <w:i w:val="0"/>
                <w:color w:val="000000"/>
                <w:sz w:val="18"/>
              </w:rPr>
              <w:t>I</w:t>
            </w:r>
            <w:r>
              <w:rPr>
                <w:rFonts w:ascii="Calibri" w:hAnsi="Calibri"/>
                <w:b w:val="0"/>
                <w:i w:val="0"/>
                <w:color w:val="000000"/>
                <w:sz w:val="14"/>
              </w:rPr>
            </w:r>
          </w:p>
        </w:tc>
        <w:tc>
          <w:tcPr>
            <w:tcW w:type="dxa" w:w="551"/>
          </w:tcPr>
          <w:p>
            <w:r/>
            <w:r>
              <w:rPr>
                <w:rFonts w:ascii="Calibri" w:hAnsi="Calibri"/>
                <w:b w:val="0"/>
                <w:i w:val="0"/>
                <w:color w:val="000000"/>
                <w:sz w:val="18"/>
              </w:rPr>
              <w:t>I</w:t>
            </w:r>
            <w:r>
              <w:rPr>
                <w:rFonts w:ascii="Calibri" w:hAnsi="Calibri"/>
                <w:b w:val="0"/>
                <w:i w:val="0"/>
                <w:color w:val="000000"/>
                <w:sz w:val="14"/>
              </w:rPr>
            </w:r>
          </w:p>
        </w:tc>
        <w:tc>
          <w:tcPr>
            <w:tcW w:type="dxa" w:w="1520"/>
          </w:tcPr>
          <w:p>
            <w:r/>
            <w:r>
              <w:rPr>
                <w:rFonts w:ascii="Calibri" w:hAnsi="Calibri"/>
                <w:b w:val="0"/>
                <w:i w:val="0"/>
                <w:color w:val="000000"/>
                <w:sz w:val="18"/>
              </w:rPr>
              <w:t>A</w:t>
            </w:r>
            <w:r>
              <w:rPr>
                <w:rFonts w:ascii="Calibri" w:hAnsi="Calibri"/>
                <w:b w:val="0"/>
                <w:i w:val="0"/>
                <w:color w:val="000000"/>
                <w:sz w:val="14"/>
              </w:rPr>
            </w:r>
          </w:p>
        </w:tc>
        <w:tc>
          <w:tcPr>
            <w:tcW w:type="dxa" w:w="1214"/>
          </w:tcPr>
          <w:p>
            <w:r/>
            <w:r>
              <w:rPr>
                <w:rFonts w:ascii="Calibri" w:hAnsi="Calibri"/>
                <w:b w:val="0"/>
                <w:i w:val="0"/>
                <w:color w:val="000000"/>
                <w:sz w:val="18"/>
              </w:rPr>
              <w:t>I</w:t>
            </w:r>
            <w:r>
              <w:rPr>
                <w:rFonts w:ascii="Calibri" w:hAnsi="Calibri"/>
                <w:b w:val="0"/>
                <w:i w:val="0"/>
                <w:color w:val="000000"/>
                <w:sz w:val="14"/>
              </w:rPr>
            </w:r>
          </w:p>
        </w:tc>
        <w:tc>
          <w:tcPr>
            <w:tcW w:type="dxa" w:w="1267"/>
          </w:tcPr>
          <w:p>
            <w:r/>
            <w:r>
              <w:rPr>
                <w:rFonts w:ascii="Calibri" w:hAnsi="Calibri"/>
                <w:b w:val="0"/>
                <w:i w:val="0"/>
                <w:color w:val="000000"/>
                <w:sz w:val="18"/>
              </w:rPr>
              <w:t>R</w:t>
            </w:r>
            <w:r>
              <w:rPr>
                <w:rFonts w:ascii="Calibri" w:hAnsi="Calibri"/>
                <w:b w:val="0"/>
                <w:i w:val="0"/>
                <w:color w:val="000000"/>
                <w:sz w:val="14"/>
              </w:rPr>
            </w:r>
          </w:p>
        </w:tc>
        <w:tc>
          <w:tcPr>
            <w:tcW w:type="dxa" w:w="1202"/>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90"/>
          </w:tcPr>
          <w:p>
            <w:r/>
            <w:r>
              <w:rPr>
                <w:rFonts w:ascii="Calibri" w:hAnsi="Calibri"/>
                <w:b w:val="0"/>
                <w:i w:val="0"/>
                <w:color w:val="000000"/>
                <w:sz w:val="18"/>
              </w:rPr>
              <w:t>Прием и проверка</w:t>
            </w:r>
            <w:r>
              <w:rPr>
                <w:rFonts w:ascii="Calibri" w:hAnsi="Calibri"/>
                <w:b w:val="0"/>
                <w:i w:val="0"/>
                <w:color w:val="000000"/>
                <w:sz w:val="14"/>
              </w:rPr>
              <w:t xml:space="preserve"> | </w:t>
            </w:r>
            <w:r>
              <w:rPr>
                <w:rFonts w:ascii="Calibri" w:hAnsi="Calibri"/>
                <w:b w:val="0"/>
                <w:i w:val="0"/>
                <w:color w:val="000000"/>
                <w:sz w:val="14"/>
              </w:rPr>
              <w:t>Receipt and verification</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51"/>
          </w:tcPr>
          <w:p>
            <w:r/>
            <w:r>
              <w:rPr>
                <w:rFonts w:ascii="Calibri" w:hAnsi="Calibri"/>
                <w:b w:val="0"/>
                <w:i w:val="0"/>
                <w:color w:val="000000"/>
                <w:sz w:val="18"/>
              </w:rPr>
              <w:t>I</w:t>
            </w:r>
            <w:r>
              <w:rPr>
                <w:rFonts w:ascii="Calibri" w:hAnsi="Calibri"/>
                <w:b w:val="0"/>
                <w:i w:val="0"/>
                <w:color w:val="000000"/>
                <w:sz w:val="14"/>
              </w:rPr>
            </w:r>
          </w:p>
        </w:tc>
        <w:tc>
          <w:tcPr>
            <w:tcW w:type="dxa" w:w="1520"/>
          </w:tcPr>
          <w:p>
            <w:r/>
            <w:r>
              <w:rPr>
                <w:rFonts w:ascii="Calibri" w:hAnsi="Calibri"/>
                <w:b w:val="0"/>
                <w:i w:val="0"/>
                <w:color w:val="000000"/>
                <w:sz w:val="18"/>
              </w:rPr>
              <w:t>C</w:t>
            </w:r>
            <w:r>
              <w:rPr>
                <w:rFonts w:ascii="Calibri" w:hAnsi="Calibri"/>
                <w:b w:val="0"/>
                <w:i w:val="0"/>
                <w:color w:val="000000"/>
                <w:sz w:val="14"/>
              </w:rPr>
            </w:r>
          </w:p>
        </w:tc>
        <w:tc>
          <w:tcPr>
            <w:tcW w:type="dxa" w:w="1214"/>
          </w:tcPr>
          <w:p>
            <w:r/>
            <w:r>
              <w:rPr>
                <w:rFonts w:ascii="Calibri" w:hAnsi="Calibri"/>
                <w:b w:val="0"/>
                <w:i w:val="0"/>
                <w:color w:val="000000"/>
                <w:sz w:val="18"/>
              </w:rPr>
              <w:t>C</w:t>
            </w:r>
            <w:r>
              <w:rPr>
                <w:rFonts w:ascii="Calibri" w:hAnsi="Calibri"/>
                <w:b w:val="0"/>
                <w:i w:val="0"/>
                <w:color w:val="000000"/>
                <w:sz w:val="14"/>
              </w:rPr>
            </w:r>
          </w:p>
        </w:tc>
        <w:tc>
          <w:tcPr>
            <w:tcW w:type="dxa" w:w="1267"/>
          </w:tcPr>
          <w:p>
            <w:r/>
            <w:r>
              <w:rPr>
                <w:rFonts w:ascii="Calibri" w:hAnsi="Calibri"/>
                <w:b w:val="0"/>
                <w:i w:val="0"/>
                <w:color w:val="000000"/>
                <w:sz w:val="18"/>
              </w:rPr>
              <w:t>R</w:t>
            </w:r>
            <w:r>
              <w:rPr>
                <w:rFonts w:ascii="Calibri" w:hAnsi="Calibri"/>
                <w:b w:val="0"/>
                <w:i w:val="0"/>
                <w:color w:val="000000"/>
                <w:sz w:val="14"/>
              </w:rPr>
            </w:r>
          </w:p>
        </w:tc>
        <w:tc>
          <w:tcPr>
            <w:tcW w:type="dxa" w:w="1202"/>
          </w:tcPr>
          <w:p>
            <w:r/>
            <w:r>
              <w:rPr>
                <w:rFonts w:ascii="Calibri" w:hAnsi="Calibri"/>
                <w:b w:val="0"/>
                <w:i w:val="0"/>
                <w:color w:val="000000"/>
                <w:sz w:val="18"/>
              </w:rPr>
              <w:t>A/R</w:t>
            </w:r>
            <w:r>
              <w:rPr>
                <w:rFonts w:ascii="Calibri" w:hAnsi="Calibri"/>
                <w:b w:val="0"/>
                <w:i w:val="0"/>
                <w:color w:val="000000"/>
                <w:sz w:val="14"/>
              </w:rPr>
            </w:r>
          </w:p>
        </w:tc>
        <w:tc>
          <w:tcPr>
            <w:tcW w:type="dxa" w:w="510"/>
          </w:tcPr>
          <w:p>
            <w:r/>
            <w:r>
              <w:rPr>
                <w:rFonts w:ascii="Calibri" w:hAnsi="Calibri"/>
                <w:b w:val="0"/>
                <w:i w:val="0"/>
                <w:color w:val="000000"/>
                <w:sz w:val="18"/>
              </w:rPr>
              <w:t>—</w:t>
            </w:r>
            <w:r>
              <w:rPr>
                <w:rFonts w:ascii="Calibri" w:hAnsi="Calibri"/>
                <w:b w:val="0"/>
                <w:i w:val="0"/>
                <w:color w:val="000000"/>
                <w:sz w:val="14"/>
              </w:rPr>
            </w:r>
          </w:p>
        </w:tc>
      </w:tr>
      <w:tr>
        <w:trPr>
          <w:cantSplit/>
        </w:trPr>
        <w:tc>
          <w:tcPr>
            <w:tcW w:type="dxa" w:w="3690"/>
          </w:tcPr>
          <w:p>
            <w:r/>
            <w:r>
              <w:rPr>
                <w:rFonts w:ascii="Calibri" w:hAnsi="Calibri"/>
                <w:b w:val="0"/>
                <w:i w:val="0"/>
                <w:color w:val="000000"/>
                <w:sz w:val="18"/>
              </w:rPr>
              <w:t>Известување до МЗ</w:t>
            </w:r>
            <w:r>
              <w:rPr>
                <w:rFonts w:ascii="Calibri" w:hAnsi="Calibri"/>
                <w:b w:val="0"/>
                <w:i w:val="0"/>
                <w:color w:val="000000"/>
                <w:sz w:val="14"/>
              </w:rPr>
              <w:t xml:space="preserve"> | </w:t>
            </w:r>
            <w:r>
              <w:rPr>
                <w:rFonts w:ascii="Calibri" w:hAnsi="Calibri"/>
                <w:b w:val="0"/>
                <w:i w:val="0"/>
                <w:color w:val="000000"/>
                <w:sz w:val="14"/>
              </w:rPr>
              <w:t>MoH post-transport report</w:t>
            </w:r>
          </w:p>
        </w:tc>
        <w:tc>
          <w:tcPr>
            <w:tcW w:type="dxa" w:w="510"/>
          </w:tcPr>
          <w:p>
            <w:r/>
            <w:r>
              <w:rPr>
                <w:rFonts w:ascii="Calibri" w:hAnsi="Calibri"/>
                <w:b w:val="0"/>
                <w:i w:val="0"/>
                <w:color w:val="000000"/>
                <w:sz w:val="18"/>
              </w:rPr>
              <w:t>I</w:t>
            </w:r>
            <w:r>
              <w:rPr>
                <w:rFonts w:ascii="Calibri" w:hAnsi="Calibri"/>
                <w:b w:val="0"/>
                <w:i w:val="0"/>
                <w:color w:val="000000"/>
                <w:sz w:val="14"/>
              </w:rPr>
            </w:r>
          </w:p>
        </w:tc>
        <w:tc>
          <w:tcPr>
            <w:tcW w:type="dxa" w:w="551"/>
          </w:tcPr>
          <w:p>
            <w:r/>
            <w:r>
              <w:rPr>
                <w:rFonts w:ascii="Calibri" w:hAnsi="Calibri"/>
                <w:b w:val="0"/>
                <w:i w:val="0"/>
                <w:color w:val="000000"/>
                <w:sz w:val="18"/>
              </w:rPr>
              <w:t>C</w:t>
            </w:r>
            <w:r>
              <w:rPr>
                <w:rFonts w:ascii="Calibri" w:hAnsi="Calibri"/>
                <w:b w:val="0"/>
                <w:i w:val="0"/>
                <w:color w:val="000000"/>
                <w:sz w:val="14"/>
              </w:rPr>
            </w:r>
          </w:p>
        </w:tc>
        <w:tc>
          <w:tcPr>
            <w:tcW w:type="dxa" w:w="1520"/>
          </w:tcPr>
          <w:p>
            <w:r/>
            <w:r>
              <w:rPr>
                <w:rFonts w:ascii="Calibri" w:hAnsi="Calibri"/>
                <w:b w:val="0"/>
                <w:i w:val="0"/>
                <w:color w:val="000000"/>
                <w:sz w:val="18"/>
              </w:rPr>
              <w:t>R</w:t>
            </w:r>
            <w:r>
              <w:rPr>
                <w:rFonts w:ascii="Calibri" w:hAnsi="Calibri"/>
                <w:b w:val="0"/>
                <w:i w:val="0"/>
                <w:color w:val="000000"/>
                <w:sz w:val="14"/>
              </w:rPr>
            </w:r>
          </w:p>
        </w:tc>
        <w:tc>
          <w:tcPr>
            <w:tcW w:type="dxa" w:w="1214"/>
          </w:tcPr>
          <w:p>
            <w:r/>
            <w:r>
              <w:rPr>
                <w:rFonts w:ascii="Calibri" w:hAnsi="Calibri"/>
                <w:b w:val="0"/>
                <w:i w:val="0"/>
                <w:color w:val="000000"/>
                <w:sz w:val="18"/>
              </w:rPr>
              <w:t>C</w:t>
            </w:r>
            <w:r>
              <w:rPr>
                <w:rFonts w:ascii="Calibri" w:hAnsi="Calibri"/>
                <w:b w:val="0"/>
                <w:i w:val="0"/>
                <w:color w:val="000000"/>
                <w:sz w:val="14"/>
              </w:rPr>
            </w:r>
          </w:p>
        </w:tc>
        <w:tc>
          <w:tcPr>
            <w:tcW w:type="dxa" w:w="1267"/>
          </w:tcPr>
          <w:p>
            <w:r/>
            <w:r>
              <w:rPr>
                <w:rFonts w:ascii="Calibri" w:hAnsi="Calibri"/>
                <w:b w:val="0"/>
                <w:i w:val="0"/>
                <w:color w:val="000000"/>
                <w:sz w:val="18"/>
              </w:rPr>
              <w:t>—</w:t>
            </w:r>
            <w:r>
              <w:rPr>
                <w:rFonts w:ascii="Calibri" w:hAnsi="Calibri"/>
                <w:b w:val="0"/>
                <w:i w:val="0"/>
                <w:color w:val="000000"/>
                <w:sz w:val="14"/>
              </w:rPr>
            </w:r>
          </w:p>
        </w:tc>
        <w:tc>
          <w:tcPr>
            <w:tcW w:type="dxa" w:w="1202"/>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A</w:t>
            </w:r>
            <w:r>
              <w:rPr>
                <w:rFonts w:ascii="Calibri" w:hAnsi="Calibri"/>
                <w:b w:val="0"/>
                <w:i w:val="0"/>
                <w:color w:val="000000"/>
                <w:sz w:val="14"/>
              </w:rPr>
            </w:r>
          </w:p>
        </w:tc>
      </w:tr>
      <w:tr>
        <w:trPr>
          <w:cantSplit/>
        </w:trPr>
        <w:tc>
          <w:tcPr>
            <w:tcW w:type="dxa" w:w="3690"/>
          </w:tcPr>
          <w:p>
            <w:r/>
            <w:r>
              <w:rPr>
                <w:rFonts w:ascii="Calibri" w:hAnsi="Calibri"/>
                <w:b w:val="0"/>
                <w:i w:val="0"/>
                <w:color w:val="000000"/>
                <w:sz w:val="18"/>
              </w:rPr>
              <w:t>Преглед и диспозиција</w:t>
            </w:r>
            <w:r>
              <w:rPr>
                <w:rFonts w:ascii="Calibri" w:hAnsi="Calibri"/>
                <w:b w:val="0"/>
                <w:i w:val="0"/>
                <w:color w:val="000000"/>
                <w:sz w:val="14"/>
              </w:rPr>
              <w:t xml:space="preserve"> | </w:t>
            </w:r>
            <w:r>
              <w:rPr>
                <w:rFonts w:ascii="Calibri" w:hAnsi="Calibri"/>
                <w:b w:val="0"/>
                <w:i w:val="0"/>
                <w:color w:val="000000"/>
                <w:sz w:val="14"/>
              </w:rPr>
              <w:t>Review and disposition</w:t>
            </w:r>
          </w:p>
        </w:tc>
        <w:tc>
          <w:tcPr>
            <w:tcW w:type="dxa" w:w="510"/>
          </w:tcPr>
          <w:p>
            <w:r/>
            <w:r>
              <w:rPr>
                <w:rFonts w:ascii="Calibri" w:hAnsi="Calibri"/>
                <w:b w:val="0"/>
                <w:i w:val="0"/>
                <w:color w:val="000000"/>
                <w:sz w:val="18"/>
              </w:rPr>
              <w:t>C</w:t>
            </w:r>
            <w:r>
              <w:rPr>
                <w:rFonts w:ascii="Calibri" w:hAnsi="Calibri"/>
                <w:b w:val="0"/>
                <w:i w:val="0"/>
                <w:color w:val="000000"/>
                <w:sz w:val="14"/>
              </w:rPr>
            </w:r>
          </w:p>
        </w:tc>
        <w:tc>
          <w:tcPr>
            <w:tcW w:type="dxa" w:w="551"/>
          </w:tcPr>
          <w:p>
            <w:r/>
            <w:r>
              <w:rPr>
                <w:rFonts w:ascii="Calibri" w:hAnsi="Calibri"/>
                <w:b w:val="0"/>
                <w:i w:val="0"/>
                <w:color w:val="000000"/>
                <w:sz w:val="18"/>
              </w:rPr>
              <w:t>A/R</w:t>
            </w:r>
            <w:r>
              <w:rPr>
                <w:rFonts w:ascii="Calibri" w:hAnsi="Calibri"/>
                <w:b w:val="0"/>
                <w:i w:val="0"/>
                <w:color w:val="000000"/>
                <w:sz w:val="14"/>
              </w:rPr>
            </w:r>
          </w:p>
        </w:tc>
        <w:tc>
          <w:tcPr>
            <w:tcW w:type="dxa" w:w="1520"/>
          </w:tcPr>
          <w:p>
            <w:r/>
            <w:r>
              <w:rPr>
                <w:rFonts w:ascii="Calibri" w:hAnsi="Calibri"/>
                <w:b w:val="0"/>
                <w:i w:val="0"/>
                <w:color w:val="000000"/>
                <w:sz w:val="18"/>
              </w:rPr>
              <w:t>C</w:t>
            </w:r>
            <w:r>
              <w:rPr>
                <w:rFonts w:ascii="Calibri" w:hAnsi="Calibri"/>
                <w:b w:val="0"/>
                <w:i w:val="0"/>
                <w:color w:val="000000"/>
                <w:sz w:val="14"/>
              </w:rPr>
            </w:r>
          </w:p>
        </w:tc>
        <w:tc>
          <w:tcPr>
            <w:tcW w:type="dxa" w:w="1214"/>
          </w:tcPr>
          <w:p>
            <w:r/>
            <w:r>
              <w:rPr>
                <w:rFonts w:ascii="Calibri" w:hAnsi="Calibri"/>
                <w:b w:val="0"/>
                <w:i w:val="0"/>
                <w:color w:val="000000"/>
                <w:sz w:val="18"/>
              </w:rPr>
              <w:t>C</w:t>
            </w:r>
            <w:r>
              <w:rPr>
                <w:rFonts w:ascii="Calibri" w:hAnsi="Calibri"/>
                <w:b w:val="0"/>
                <w:i w:val="0"/>
                <w:color w:val="000000"/>
                <w:sz w:val="14"/>
              </w:rPr>
            </w:r>
          </w:p>
        </w:tc>
        <w:tc>
          <w:tcPr>
            <w:tcW w:type="dxa" w:w="1267"/>
          </w:tcPr>
          <w:p>
            <w:r/>
            <w:r>
              <w:rPr>
                <w:rFonts w:ascii="Calibri" w:hAnsi="Calibri"/>
                <w:b w:val="0"/>
                <w:i w:val="0"/>
                <w:color w:val="000000"/>
                <w:sz w:val="18"/>
              </w:rPr>
              <w:t>—</w:t>
            </w:r>
            <w:r>
              <w:rPr>
                <w:rFonts w:ascii="Calibri" w:hAnsi="Calibri"/>
                <w:b w:val="0"/>
                <w:i w:val="0"/>
                <w:color w:val="000000"/>
                <w:sz w:val="14"/>
              </w:rPr>
            </w:r>
          </w:p>
        </w:tc>
        <w:tc>
          <w:tcPr>
            <w:tcW w:type="dxa" w:w="1202"/>
          </w:tcPr>
          <w:p>
            <w:r/>
            <w:r>
              <w:rPr>
                <w:rFonts w:ascii="Calibri" w:hAnsi="Calibri"/>
                <w:b w:val="0"/>
                <w:i w:val="0"/>
                <w:color w:val="000000"/>
                <w:sz w:val="18"/>
              </w:rPr>
              <w:t>—</w:t>
            </w:r>
            <w:r>
              <w:rPr>
                <w:rFonts w:ascii="Calibri" w:hAnsi="Calibri"/>
                <w:b w:val="0"/>
                <w:i w:val="0"/>
                <w:color w:val="000000"/>
                <w:sz w:val="14"/>
              </w:rPr>
            </w:r>
          </w:p>
        </w:tc>
        <w:tc>
          <w:tcPr>
            <w:tcW w:type="dxa" w:w="510"/>
          </w:tcPr>
          <w:p>
            <w:r/>
            <w:r>
              <w:rPr>
                <w:rFonts w:ascii="Calibri" w:hAnsi="Calibri"/>
                <w:b w:val="0"/>
                <w:i w:val="0"/>
                <w:color w:val="000000"/>
                <w:sz w:val="18"/>
              </w:rPr>
              <w:t>C</w:t>
            </w:r>
            <w:r>
              <w:rPr>
                <w:rFonts w:ascii="Calibri" w:hAnsi="Calibri"/>
                <w:b w:val="0"/>
                <w:i w:val="0"/>
                <w:color w:val="000000"/>
                <w:sz w:val="14"/>
              </w:rPr>
            </w:r>
          </w:p>
        </w:tc>
      </w:tr>
    </w:tbl>
    <w:p>
      <w:pPr>
        <w:keepNext w:val="0"/>
        <w:spacing w:before="0" w:after="0" w:lineRule="exact" w:line="120"/>
      </w:pPr>
    </w:p>
    <w:tbl>
      <w:tblPr>
        <w:tblW w:type="auto" w:w="0"/>
        <w:jc w:val="center"/>
        <w:tblLayout w:type="fixed"/>
        <w:tblLook w:firstColumn="1" w:firstRow="1" w:lastColumn="0" w:lastRow="0" w:noHBand="0" w:noVBand="1" w:val="04A0"/>
        <w:tblLayout w:type="fixed"/>
      </w:tblPr>
      <w:tblGrid>
        <w:gridCol w:w="5233"/>
        <w:gridCol w:w="5233"/>
      </w:tblGrid>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A = одговорен за исходот; R = изведува; C = се консултира; I = се информира. Полициското придружување го извршува МВР и не е дел од матрицата.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 = accountable; R = responsible; C = consulted; I = informed. The police escort is performed by the MoIA and is not part of the matrix.</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Складирање/Логистика: одговорен за оперативната изведба, ресурсите, формирањето на палетите, печатењето и поставувањето на етикетите, листите на пакување (WHSOP_003_A03), поставувањето на логерите, товарањето и комплетирањето на манифестот (WHSOP_003_A04) и чек-листата (WHSOP_003_A05).</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Head of Warehousing/Logistics: responsible for operational execution, resources, building the pallets, printing and applying the labels, the packing lists (WHSOP_003_A03), logger placement, loading and completion of the manifest (WHSOP_003_A04) and checklist (WHSOP_003_A05).</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Обезбедување: го изготвува и поднесува Барањето за полициско придружување и известувањето до МВР (WHSOP_003_A02), ја проверува писмената потврда од МВР пред да ја одобри отпремата, го потврдува присуството на полициското придружување на точката на предавање 1, одржува телефонска врска со возачот за време на транспортот и го изготвува извештајот по транспортот (WHSOP_003_A06).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Head of Security: prepares and submits the Request for police escort and notification to the MoIA (WHSOP_003_A02), verifies the written MoIA confirmation before authorising dispatch, confirms the presence of the police escort at transfer point 1, keeps telephone contact with the driver during the transport and prepares the post-transport report (WHSOP_003_A06).</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КК: го потврдува статусот на материјалот пред отпремата и се консултира кога отстапување во условите на транспорт може да влијае на квалитетот.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QC Head: confirms the status of the material before dispatch and is consulted when a deviation in transport conditions may affect quality.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Раководител на Сектор QA: ја одобрува оваа СОП, го квалификува превозникот (QAS-10-003) и го одржува Договорот за квалитет со него, го одобрува TRA (WHSOP_003_A01), го одобрува распоредот на логерите, ги презема и прегледува податоците од логерите, го прегледува комплетниот транспортен досие во рок од 48 часа и ја носи диспозицијата (WHSOP_003_A07); води истраги и CAPA.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QA Manager: approves this SOP, qualifies the carrier (QAS-10-003) and maintains the Quality Agreement with it, approves the TRA (WHSOP_003_A01), approves the logger placement plan, downloads and reviews the logger data, reviews the complete transport file within 48 hours and records the disposition (WHSOP_003_A07); leads investigations and CAPA.</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Квалификувано лице (QP): го потпишува извештајот до Министерството за здравство, ја носи диспозицијата при критични отстапувања и ја задржува крајната одговорност за усогласеност.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Qualified Person (QP): signs the report to the Ministry of Health, decides the disposition of critical deviations and retains ultimate responsibility for compliance.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Договорен превозник (транспортна компанија): обезбедува возило и возач според Договорот за квалитет; возачот го презема товарот на точката на предавање 1, ја вози одобрената рута под полициско придружување, не го остава возилото без надзор, ги евидентира контролните јавувања и инцидентите, го предава товарот на примачот и ги враќа документите и USB логерот во рок од 24 часа; превозникот известува за секоја промена на возилото или опремата.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Contracted carrier (transport company): provides the vehicle and driver per the Quality Agreement; the driver takes over the load at transfer point 1, drives the approved route under police escort, never leaves the vehicle unattended, records check-in calls and incidents, hands the load over to the consignee and returns the documents and the USB logger within 24 hours; the carrier notifies any change of vehicle or equipment.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Придружник на Пјурли Плант (ако е одреден во TRA): овластено лице на Пјурли Плант кое ја придружува пратката, го потпишува предавањето и ги евидентира контролните јавувања наместо возачот.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Purely Plant accompanying person (if designated in the TRA): an authorised Purely Plant person who accompanies the consignment, signs the hand-overs and records the check-in calls instead of the driver.</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Примач: го проверува бројот на палети, целоста на завиткувањето и пломбите и идентитетот пред потпис, ги вади и запира логерите за еднократна употреба и го потпишува ланецот на надзор.</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Consignee: verifies the pallet count, integrity of the wrapping and seals, and identity before signing, removes and stops the single-use loggers and signs the chain of custody.</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4.0 РЕФЕРЕНТНИ ДОКУМЕНТИ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4.0 REFERENCE DOCUMENTS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4.1 Национална регулатива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4.1 National legislation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Закон за контрола на опојни дроги и психотропни супстанции (пречистен текст, Сл. весник бр. 37/16) — транспорт на опојни дроги, претходно известување до Министерството за внатрешни работи и известување до Министерството за здравство.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Law on Control of Narcotic Drugs and Psychotropic Substances (consolidated text, Off. Gazette No. 37/16) — transport of narcotic drugs, prior notification to the Ministry of Interior Affairs and notification to the Ministry of Health.</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Закон за лекови и медицински средства (Сл. весник на РМ бр. 106/07 со измени).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Law on Medicines and Medical Devices (Off. Gazette of RM No. 106/07, as amended).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Упатство за начелата на добрата производна пракса (Сл. весник на РМ бр. 26/09).</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Guidelines on the principles of Good Manufacturing Practice (Off. Gazette of RM No. 26/09).</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4.2 EU GMP / GDP и меѓународни стандарди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4.2 EU GMP / GDP and international standards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EudraLex Vol. 4 — Part I Chapter 4 (документација), Chapter 5 §5.10 (транспорт), Chapter 7 (аутсорсирани активности — превозник); Annex 7 (растителни лекови); Annex 19 (референтни и ретенциони мостри); Annex 11 (компјутеризирани системи — софтвер на USB логерите); Annex 15 §6 (верификација на транспортот).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EudraLex Vol. 4 — Part I Chapter 4 (documentation), Chapter 5 §5.10 (transport), Chapter 7 (outsourced activities — carrier); Annex 7 (herbal medicinal products); Annex 19 (reference and retention samples); Annex 11 (computerised systems — USB logger software); Annex 15 §6 (verification of transportation).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Guidelines of 5 November 2013 on Good Distribution Practice of medicinal products for human use (2013/C 343/01), Chapter 7 (аутсорсирани активности) и Chapter 9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Guidelines of 5 November 2013 on Good Distribution Practice of medicinal products for human use (2013/C 343/01), Chapter 7 (outsourced activities) and Chapter 9 (transportation).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WHO TRS No. 957 (2010), Annex 5 (GDP); WHO TRS No. 961 (2011), Annex 9 — Model guidance for the storage and transport of time- and temperature-sensitive pharmaceutical products.</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WHO TRS No. 957 (2010), Annex 5 (GDP); WHO TRS No. 961 (2011), Annex 9 — Model guidance for the storage and transport of time- and temperature-sensitive pharmaceutical products.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Ph. Eur. Монографија 3028 (Cannabis flos); ICH Q9(R1) (управување со ризик); ICH Q10.</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Ph. Eur. Monograph 3028 (Cannabis flos); ICH Q9(R1) (risk management); ICH Q10.</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Единствена конвенција за опојни дроги (1961).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Single Convention on Narcotic Drugs (1961).</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5.0 ДЕФИНИЦИИ</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5.0 DEFINITIONS</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5.1 Дефиниции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5.1 Definitions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Опојна дрога — супстанца ставена под контрола со Законот за контрола на опојни дроги и психотропни супстанции; во оваа СОП: канабис и производи од канабис во сите форми (во постарите документи: „еуфорични супстанции“).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Narcotic drug — a substance placed under control by the Law on Control of Narcotic Drugs and Psychotropic Substances; in this SOP: cannabis and cannabis products in all forms (in older documents: "euphoric substances").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Превозник — договорна транспортна компанија, квалификувана според QAS-10-003, со важечки Договор за квалитет, која го обезбедува возилото и возачот.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Carrier — a contracted transport company, qualified per QAS-10-003, holding a valid Quality Agreement, which provides the vehicle and driver.</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Активна / пасивна контрола на температура — возило со уред за ладење/греење со поставена вредност (активна) или без него, со заштита само со термо-ќебиња (пасивна); се означува со поле за избор во A01, A04 и A05.</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Active / passive temperature control — a vehicle with a cooling/heating unit with a set point (active) or without one, protected only by thermal blankets (passive); marked with a checkbox in A01, A04 and A05.</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Транспортен настан — едно движење на една или повеќе палети од едно место на испраќање до едно место на прием, идентификувано со единствен идентификатор (UTID).</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Transport event — one movement of one or more pallets from one dispatch point to one receipt point, identified by a unique transport identifier (UTID).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UTID — единствен идентификатор на транспорт, формат TR-YYYYMMDD-NNN (на пр. TR-20261015-001); ги поврзува сите записи на настанот.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UTID — unique transport identifier, format TR-YYYYMMDD-NNN (e.g. TR-20261015-001); links all records of the event.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Палета — евро-палета (1200 × 800 mm), голема (G — 8 картони) или мала (M — 4 картони), завиткана со стреч-фолија и термо-ќебе; идентификатор на палета: UTID-Pnn (на пр. TR-20261015-001-P01).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Pallet — a Euro pallet (1200 × 800 mm), large (L — 8 cartons) or small (S — 4 cartons), wrapped in stretch film and a thermal blanket; pallet ID: UTID-Pnn (e.g. TR-20261015-001-P01).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Картон — транспортна кутија од брановиден картон со 10 кеси меѓупроизвод (ринфуз); идентификатор на картон: UTID-Pnn-Cnn (на пр. TR-20261015-001-P01-C03).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Carton — a corrugated transport box holding 10 bags of intermediate (bulk); carton ID: UTID-Pnn-Cnn (e.g. TR-20261015-001-P01-C03).</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Кеса — примарно пакување на меѓупроизводот, означено со серијата и редниот број на кесата од производствениот запис; не се преозначува за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Bag — the primary packaging of the intermediate, labelled with the batch and the bag number from the production record; it is not relabelled for transport.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Ретенциони мостри за купувачот и за продавачот на мало — мостри од секоја серија, во број и количина утврдени со договорот со купувачот, во посебни запечатени и означени контејнери, кои патуваат со пратката; не се ретенционите мостри на Пјурли Плант според EU GMP Annex 19, кои остануваат на локацијата.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Retention samples for the buyer and the retailer — samples of each batch, in the number and quantity set by the contract with the buyer, in separate sealed and labelled containers, travelling with the consignment; they are not Purely Plant's own retention samples under EU GMP Annex 19, which stay on site.</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Листа на пакување — запис на хартија што ги наведува содржаните единици: кесите во картонот или картоните во палетата (WHSOP_003_A03).</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Packing list — a paper record listing the units contained: the bags in a carton or the cartons on a pallet (WHSOP_003_A03).</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Логер за еднократна употреба — калибриран температурен логер со фабрички сертификат, кој се активира еднаш, оди со палетата и по запирање дава неизменлив извештај (PDF).</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Single-use logger — a calibrated temperature logger with a factory certificate, activated once, travelling with the pallet and producing an unalterable report (PDF) once stopped.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USB логер — калибриран логер за температура и влага за повеќекратна употреба, чии податоци се преземаат преку USB со софтвер верификуван според Annex 11.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USB logger — a calibrated reusable temperature and humidity logger whose data are downloaded via USB with software verified per Annex 11.</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Рута (лента) — дефинирана комбинација на место на испраќање, место на прием, патека, возило/конфигурација на пакување и сезона, квалификувана согласно QASOP_0XX.</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Lane — a defined combination of dispatch point, receipt point, route, vehicle/packaging configuration and season, qualified per QASOP_0XX.</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Ланец на надзор — документирана, хронолошка и непрекината евиденција на поседувањето и предавањето на пратката.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Chain of custody — the documented, chronological and unbroken record of possession and hand-over of the consignment.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Пломба со доказ за отворање — серијализирана безбедносна пломба или лента која видливо покажува секое неовластено отворање.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Tamper-evident seal — a serialised security seal or tape that visibly shows any unauthorised opening.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Температурна екскурзија — секое отстапување од пропишаниот опсег на температура или влага, без оглед на времетраењето.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Temperature excursion — any departure from the prescribed temperature or humidity range, regardless of duration.</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5.2 Кратенки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5.2 Abbreviations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МВР — Министерство за внатрешни работи (MoIA); МЗ — Министерство за здравство (MoH); TRA — процена на ризик од транспорт; UTID; G/M — голема/мала палета (L/S); RH; MKT; CAPA; GMP; GDP; QA; QC; QP; SOP; CoA.</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MoIA — Ministry of Interior Affairs (МВР); MoH — Ministry of Health (МЗ); TRA — transport risk assessment; UTID; L/S — large/small pallet (G/M); RH; MKT; CAPA; GMP; GDP; QA; QC; QP; SOP; CoA.</w:t>
            </w:r>
          </w:p>
        </w:tc>
      </w:tr>
      <w:tr>
        <w:trPr>
          <w:trHeight w:val="200" w:hRule="exact"/>
        </w:trPr>
        <w:tc>
          <w:tcPr>
            <w:tcW w:type="dxa" w:w="5102"/>
            <w:tcBorders>
              <w:top w:val="nil"/>
              <w:left w:val="nil"/>
              <w:bottom w:val="nil"/>
              <w:right w:val="single" w:sz="4" w:color="000000"/>
            </w:tcBorders>
          </w:tcPr>
          <w:p>
            <w:pPr>
              <w:spacing w:before="0" w:after="0"/>
            </w:pPr>
          </w:p>
        </w:tc>
        <w:tc>
          <w:tcPr>
            <w:tcW w:type="dxa" w:w="5102"/>
            <w:tcBorders>
              <w:top w:val="nil"/>
              <w:left w:val="single" w:sz="4" w:color="000000"/>
              <w:bottom w:val="nil"/>
              <w:right w:val="nil"/>
            </w:tcBorders>
          </w:tcPr>
          <w:p>
            <w:pPr>
              <w:spacing w:before="0" w:after="0"/>
            </w:pPr>
          </w:p>
        </w:tc>
      </w:tr>
      <w:tr>
        <w:trPr>
          <w:cantSplit/>
        </w:trPr>
        <w:tc>
          <w:tcPr>
            <w:tcW w:type="dxa" w:w="5102"/>
            <w:shd w:val="clear" w:color="auto" w:fill="E8E8E8"/>
            <w:tcBorders>
              <w:top w:val="nil"/>
              <w:left w:val="nil"/>
              <w:bottom w:val="nil"/>
              <w:right w:val="single" w:sz="4" w:color="000000"/>
            </w:tcBorders>
          </w:tcPr>
          <w:p>
            <w:pPr>
              <w:pStyle w:val="Heading1"/>
              <w:keepNext/>
              <w:spacing w:before="60" w:after="60"/>
            </w:pPr>
            <w:r/>
            <w:r>
              <w:rPr>
                <w:rFonts w:ascii="Calibri" w:hAnsi="Calibri"/>
                <w:b/>
                <w:i w:val="0"/>
                <w:color w:val="000000"/>
                <w:sz w:val="24"/>
              </w:rPr>
              <w:t>6.0 ПОСТАПКА</w:t>
            </w:r>
          </w:p>
        </w:tc>
        <w:tc>
          <w:tcPr>
            <w:tcW w:type="dxa" w:w="5102"/>
            <w:shd w:val="clear" w:color="auto" w:fill="E8E8E8"/>
            <w:tcBorders>
              <w:top w:val="nil"/>
              <w:left w:val="single" w:sz="4" w:color="000000"/>
              <w:bottom w:val="nil"/>
              <w:right w:val="nil"/>
            </w:tcBorders>
          </w:tcPr>
          <w:p>
            <w:pPr>
              <w:keepNext/>
              <w:spacing w:before="60" w:after="60"/>
            </w:pPr>
            <w:r/>
            <w:r>
              <w:rPr>
                <w:rFonts w:ascii="Calibri" w:hAnsi="Calibri"/>
                <w:b/>
                <w:i w:val="0"/>
                <w:color w:val="595959"/>
                <w:sz w:val="24"/>
              </w:rPr>
              <w:t>6.0 PROCEDURE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 Општи барања и матрица на услови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 General requirements and condition matrix</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Секое движење мора да биде: (а) извршено по квалификувана рута според QASOP_0XX (статус QUALIFIED во регистарот QASOP_0XX_A06), со истата конфигурација на возило и палети; (б) пријавено до МВР со барање за полициско придружување и писмено потврдено пред отпремата; (в) извршено од квалификуван договорен превозник со важечки Договор за квалитет, под полициско придружување; и (г) следено со калибрирани логери според 6.4.5. Ниту едно движење не започнува ако некој од овие услови не е исполнет.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Every movement must be: (a) executed on a lane qualified per QASOP_0XX (status QUALIFIED in register QASOP_0XX_A06), with the same vehicle and pallet configuration; (b) notified to the MoIA with a request for police escort and confirmed in writing before dispatch; (c) performed by a qualified contracted carrier holding a valid Quality Agreement, under police escort; and (d) monitored with calibrated loggers per 6.4.5. No movement starts if any of these conditions is not met.</w:t>
            </w:r>
          </w:p>
        </w:tc>
      </w:tr>
    </w:tbl>
    <w:p>
      <w:pPr>
        <w:keepNext w:val="0"/>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496"/>
        <w:gridCol w:w="1939"/>
        <w:gridCol w:w="1036"/>
        <w:gridCol w:w="2496"/>
        <w:gridCol w:w="2496"/>
      </w:tblGrid>
      <w:tr>
        <w:trPr>
          <w:cantSplit/>
          <w:tblHeader w:val="true"/>
        </w:trPr>
        <w:tc>
          <w:tcPr>
            <w:shd w:val="clear" w:color="auto" w:fill="D9E2F3"/>
            <w:tcW w:type="dxa" w:w="2496"/>
          </w:tcPr>
          <w:p>
            <w:pPr>
              <w:keepNext/>
            </w:pPr>
            <w:r/>
            <w:r>
              <w:rPr>
                <w:rFonts w:ascii="Calibri" w:hAnsi="Calibri"/>
                <w:b/>
                <w:i w:val="0"/>
                <w:color w:val="000000"/>
                <w:sz w:val="20"/>
              </w:rPr>
              <w:t>Вид на материјал</w:t>
            </w:r>
            <w:r>
              <w:rPr>
                <w:rFonts w:ascii="Calibri" w:hAnsi="Calibri"/>
                <w:b w:val="0"/>
                <w:i w:val="0"/>
                <w:color w:val="000000"/>
                <w:sz w:val="14"/>
              </w:rPr>
              <w:t xml:space="preserve"> | </w:t>
            </w:r>
            <w:r>
              <w:rPr>
                <w:rFonts w:ascii="Calibri" w:hAnsi="Calibri"/>
                <w:b/>
                <w:i w:val="0"/>
                <w:color w:val="000000"/>
                <w:sz w:val="14"/>
              </w:rPr>
              <w:t>Material</w:t>
            </w:r>
          </w:p>
        </w:tc>
        <w:tc>
          <w:tcPr>
            <w:shd w:val="clear" w:color="auto" w:fill="D9E2F3"/>
            <w:tcW w:type="dxa" w:w="1939"/>
          </w:tcPr>
          <w:p>
            <w:pPr>
              <w:keepNext/>
            </w:pPr>
            <w:r/>
            <w:r>
              <w:rPr>
                <w:rFonts w:ascii="Calibri" w:hAnsi="Calibri"/>
                <w:b/>
                <w:i w:val="0"/>
                <w:color w:val="000000"/>
                <w:sz w:val="20"/>
              </w:rPr>
              <w:t>Температура</w:t>
            </w:r>
            <w:r>
              <w:rPr>
                <w:rFonts w:ascii="Calibri" w:hAnsi="Calibri"/>
                <w:b w:val="0"/>
                <w:i w:val="0"/>
                <w:color w:val="000000"/>
                <w:sz w:val="14"/>
              </w:rPr>
              <w:t xml:space="preserve"> | </w:t>
            </w:r>
            <w:r>
              <w:rPr>
                <w:rFonts w:ascii="Calibri" w:hAnsi="Calibri"/>
                <w:b/>
                <w:i w:val="0"/>
                <w:color w:val="000000"/>
                <w:sz w:val="14"/>
              </w:rPr>
              <w:t>Temperature</w:t>
            </w:r>
          </w:p>
        </w:tc>
        <w:tc>
          <w:tcPr>
            <w:shd w:val="clear" w:color="auto" w:fill="D9E2F3"/>
            <w:tcW w:type="dxa" w:w="1036"/>
          </w:tcPr>
          <w:p>
            <w:pPr>
              <w:keepNext/>
            </w:pPr>
            <w:r/>
            <w:r>
              <w:rPr>
                <w:rFonts w:ascii="Calibri" w:hAnsi="Calibri"/>
                <w:b/>
                <w:i w:val="0"/>
                <w:color w:val="000000"/>
                <w:sz w:val="20"/>
              </w:rPr>
              <w:t>Влага</w:t>
            </w:r>
            <w:r>
              <w:rPr>
                <w:rFonts w:ascii="Calibri" w:hAnsi="Calibri"/>
                <w:b w:val="0"/>
                <w:i w:val="0"/>
                <w:color w:val="000000"/>
                <w:sz w:val="14"/>
              </w:rPr>
              <w:t xml:space="preserve"> | </w:t>
            </w:r>
            <w:r>
              <w:rPr>
                <w:rFonts w:ascii="Calibri" w:hAnsi="Calibri"/>
                <w:b/>
                <w:i w:val="0"/>
                <w:color w:val="000000"/>
                <w:sz w:val="14"/>
              </w:rPr>
              <w:t>Humidity</w:t>
            </w:r>
          </w:p>
        </w:tc>
        <w:tc>
          <w:tcPr>
            <w:shd w:val="clear" w:color="auto" w:fill="D9E2F3"/>
            <w:tcW w:type="dxa" w:w="2496"/>
          </w:tcPr>
          <w:p>
            <w:pPr>
              <w:keepNext/>
            </w:pPr>
            <w:r/>
            <w:r>
              <w:rPr>
                <w:rFonts w:ascii="Calibri" w:hAnsi="Calibri"/>
                <w:b/>
                <w:i w:val="0"/>
                <w:color w:val="000000"/>
                <w:sz w:val="20"/>
              </w:rPr>
              <w:t>Логери</w:t>
            </w:r>
            <w:r>
              <w:rPr>
                <w:rFonts w:ascii="Calibri" w:hAnsi="Calibri"/>
                <w:b w:val="0"/>
                <w:i w:val="0"/>
                <w:color w:val="000000"/>
                <w:sz w:val="14"/>
              </w:rPr>
              <w:t xml:space="preserve"> | </w:t>
            </w:r>
            <w:r>
              <w:rPr>
                <w:rFonts w:ascii="Calibri" w:hAnsi="Calibri"/>
                <w:b/>
                <w:i w:val="0"/>
                <w:color w:val="000000"/>
                <w:sz w:val="14"/>
              </w:rPr>
              <w:t>Loggers</w:t>
            </w:r>
          </w:p>
        </w:tc>
        <w:tc>
          <w:tcPr>
            <w:shd w:val="clear" w:color="auto" w:fill="D9E2F3"/>
            <w:tcW w:type="dxa" w:w="2496"/>
          </w:tcPr>
          <w:p>
            <w:pPr>
              <w:keepNext/>
            </w:pPr>
            <w:r/>
            <w:r>
              <w:rPr>
                <w:rFonts w:ascii="Calibri" w:hAnsi="Calibri"/>
                <w:b/>
                <w:i w:val="0"/>
                <w:color w:val="000000"/>
                <w:sz w:val="20"/>
              </w:rPr>
              <w:t>Пакување</w:t>
            </w:r>
            <w:r>
              <w:rPr>
                <w:rFonts w:ascii="Calibri" w:hAnsi="Calibri"/>
                <w:b w:val="0"/>
                <w:i w:val="0"/>
                <w:color w:val="000000"/>
                <w:sz w:val="14"/>
              </w:rPr>
              <w:t xml:space="preserve"> | </w:t>
            </w:r>
            <w:r>
              <w:rPr>
                <w:rFonts w:ascii="Calibri" w:hAnsi="Calibri"/>
                <w:b/>
                <w:i w:val="0"/>
                <w:color w:val="000000"/>
                <w:sz w:val="14"/>
              </w:rPr>
              <w:t>Packaging</w:t>
            </w:r>
          </w:p>
        </w:tc>
      </w:tr>
      <w:tr>
        <w:trPr>
          <w:cantSplit/>
        </w:trPr>
        <w:tc>
          <w:tcPr>
            <w:tcW w:type="dxa" w:w="2496"/>
          </w:tcPr>
          <w:p>
            <w:pPr>
              <w:keepNext/>
            </w:pPr>
            <w:r/>
            <w:r>
              <w:rPr>
                <w:rFonts w:ascii="Calibri" w:hAnsi="Calibri"/>
                <w:b w:val="0"/>
                <w:i w:val="0"/>
                <w:color w:val="000000"/>
                <w:sz w:val="20"/>
              </w:rPr>
              <w:t>Меѓупроизвод (ринфуз во кеси)</w:t>
            </w:r>
            <w:r>
              <w:rPr>
                <w:rFonts w:ascii="Calibri" w:hAnsi="Calibri"/>
                <w:b w:val="0"/>
                <w:i w:val="0"/>
                <w:color w:val="000000"/>
                <w:sz w:val="14"/>
              </w:rPr>
              <w:t xml:space="preserve"> | </w:t>
            </w:r>
            <w:r>
              <w:rPr>
                <w:rFonts w:ascii="Calibri" w:hAnsi="Calibri"/>
                <w:b w:val="0"/>
                <w:i w:val="0"/>
                <w:color w:val="000000"/>
                <w:sz w:val="14"/>
              </w:rPr>
              <w:t>Intermediate (bulk in bags)</w:t>
            </w:r>
          </w:p>
        </w:tc>
        <w:tc>
          <w:tcPr>
            <w:tcW w:type="dxa" w:w="1939"/>
          </w:tcPr>
          <w:p>
            <w:pPr>
              <w:keepNext/>
            </w:pPr>
            <w:r/>
            <w:r>
              <w:rPr>
                <w:rFonts w:ascii="Calibri" w:hAnsi="Calibri"/>
                <w:b w:val="0"/>
                <w:i w:val="0"/>
                <w:color w:val="000000"/>
                <w:sz w:val="20"/>
              </w:rPr>
              <w:t>15–25 °C</w:t>
            </w:r>
            <w:r>
              <w:rPr>
                <w:rFonts w:ascii="Calibri" w:hAnsi="Calibri"/>
                <w:b w:val="0"/>
                <w:i w:val="0"/>
                <w:color w:val="000000"/>
                <w:sz w:val="14"/>
              </w:rPr>
            </w:r>
          </w:p>
        </w:tc>
        <w:tc>
          <w:tcPr>
            <w:tcW w:type="dxa" w:w="1036"/>
          </w:tcPr>
          <w:p>
            <w:pPr>
              <w:keepNext/>
            </w:pPr>
            <w:r/>
            <w:r>
              <w:rPr>
                <w:rFonts w:ascii="Calibri" w:hAnsi="Calibri"/>
                <w:b w:val="0"/>
                <w:i w:val="0"/>
                <w:color w:val="000000"/>
                <w:sz w:val="20"/>
              </w:rPr>
              <w:t>RH ≤ 60 %</w:t>
            </w:r>
            <w:r>
              <w:rPr>
                <w:rFonts w:ascii="Calibri" w:hAnsi="Calibri"/>
                <w:b w:val="0"/>
                <w:i w:val="0"/>
                <w:color w:val="000000"/>
                <w:sz w:val="14"/>
              </w:rPr>
            </w:r>
          </w:p>
        </w:tc>
        <w:tc>
          <w:tcPr>
            <w:tcW w:type="dxa" w:w="2496"/>
          </w:tcPr>
          <w:p>
            <w:pPr>
              <w:keepNext/>
            </w:pPr>
            <w:r/>
            <w:r>
              <w:rPr>
                <w:rFonts w:ascii="Calibri" w:hAnsi="Calibri"/>
                <w:b w:val="0"/>
                <w:i w:val="0"/>
                <w:color w:val="000000"/>
                <w:sz w:val="20"/>
              </w:rPr>
              <w:t>1 еднократен по палета + 1 USB во товарниот простор</w:t>
            </w:r>
            <w:r>
              <w:rPr>
                <w:rFonts w:ascii="Calibri" w:hAnsi="Calibri"/>
                <w:b w:val="0"/>
                <w:i w:val="0"/>
                <w:color w:val="000000"/>
                <w:sz w:val="14"/>
              </w:rPr>
              <w:t xml:space="preserve"> | </w:t>
            </w:r>
            <w:r>
              <w:rPr>
                <w:rFonts w:ascii="Calibri" w:hAnsi="Calibri"/>
                <w:b w:val="0"/>
                <w:i w:val="0"/>
                <w:color w:val="000000"/>
                <w:sz w:val="14"/>
              </w:rPr>
              <w:t>1 single-use per pallet + 1 USB in the load space</w:t>
            </w:r>
          </w:p>
        </w:tc>
        <w:tc>
          <w:tcPr>
            <w:tcW w:type="dxa" w:w="2496"/>
          </w:tcPr>
          <w:p>
            <w:pPr>
              <w:keepNext/>
            </w:pPr>
            <w:r/>
            <w:r>
              <w:rPr>
                <w:rFonts w:ascii="Calibri" w:hAnsi="Calibri"/>
                <w:b w:val="0"/>
                <w:i w:val="0"/>
                <w:color w:val="000000"/>
                <w:sz w:val="20"/>
              </w:rPr>
              <w:t>10 кеси/картон; палета G 8 или M 4 картони; стреч-фолија и термо-ќебе</w:t>
            </w:r>
            <w:r>
              <w:rPr>
                <w:rFonts w:ascii="Calibri" w:hAnsi="Calibri"/>
                <w:b w:val="0"/>
                <w:i w:val="0"/>
                <w:color w:val="000000"/>
                <w:sz w:val="14"/>
              </w:rPr>
              <w:t xml:space="preserve"> | </w:t>
            </w:r>
            <w:r>
              <w:rPr>
                <w:rFonts w:ascii="Calibri" w:hAnsi="Calibri"/>
                <w:b w:val="0"/>
                <w:i w:val="0"/>
                <w:color w:val="000000"/>
                <w:sz w:val="14"/>
              </w:rPr>
              <w:t>10 bags/carton; pallet L 8 or S 4 cartons; stretch film and thermal blanket</w:t>
            </w:r>
          </w:p>
        </w:tc>
      </w:tr>
      <w:tr>
        <w:trPr>
          <w:cantSplit/>
        </w:trPr>
        <w:tc>
          <w:tcPr>
            <w:tcW w:type="dxa" w:w="2496"/>
          </w:tcPr>
          <w:p>
            <w:pPr>
              <w:keepNext/>
            </w:pPr>
            <w:r/>
            <w:r>
              <w:rPr>
                <w:rFonts w:ascii="Calibri" w:hAnsi="Calibri"/>
                <w:b w:val="0"/>
                <w:i w:val="0"/>
                <w:color w:val="000000"/>
                <w:sz w:val="20"/>
              </w:rPr>
              <w:t>Готов производ — сув цвет</w:t>
            </w:r>
            <w:r>
              <w:rPr>
                <w:rFonts w:ascii="Calibri" w:hAnsi="Calibri"/>
                <w:b w:val="0"/>
                <w:i w:val="0"/>
                <w:color w:val="000000"/>
                <w:sz w:val="14"/>
              </w:rPr>
              <w:t xml:space="preserve"> | </w:t>
            </w:r>
            <w:r>
              <w:rPr>
                <w:rFonts w:ascii="Calibri" w:hAnsi="Calibri"/>
                <w:b w:val="0"/>
                <w:i w:val="0"/>
                <w:color w:val="000000"/>
                <w:sz w:val="14"/>
              </w:rPr>
              <w:t>Finished product — dried flower</w:t>
            </w:r>
          </w:p>
        </w:tc>
        <w:tc>
          <w:tcPr>
            <w:tcW w:type="dxa" w:w="1939"/>
          </w:tcPr>
          <w:p>
            <w:pPr>
              <w:keepNext/>
            </w:pPr>
            <w:r/>
            <w:r>
              <w:rPr>
                <w:rFonts w:ascii="Calibri" w:hAnsi="Calibri"/>
                <w:b w:val="0"/>
                <w:i w:val="0"/>
                <w:color w:val="000000"/>
                <w:sz w:val="20"/>
              </w:rPr>
              <w:t>15–25 °C</w:t>
            </w:r>
            <w:r>
              <w:rPr>
                <w:rFonts w:ascii="Calibri" w:hAnsi="Calibri"/>
                <w:b w:val="0"/>
                <w:i w:val="0"/>
                <w:color w:val="000000"/>
                <w:sz w:val="14"/>
              </w:rPr>
            </w:r>
          </w:p>
        </w:tc>
        <w:tc>
          <w:tcPr>
            <w:tcW w:type="dxa" w:w="1036"/>
          </w:tcPr>
          <w:p>
            <w:pPr>
              <w:keepNext/>
            </w:pPr>
            <w:r/>
            <w:r>
              <w:rPr>
                <w:rFonts w:ascii="Calibri" w:hAnsi="Calibri"/>
                <w:b w:val="0"/>
                <w:i w:val="0"/>
                <w:color w:val="000000"/>
                <w:sz w:val="20"/>
              </w:rPr>
              <w:t>RH ≤ 60 %</w:t>
            </w:r>
            <w:r>
              <w:rPr>
                <w:rFonts w:ascii="Calibri" w:hAnsi="Calibri"/>
                <w:b w:val="0"/>
                <w:i w:val="0"/>
                <w:color w:val="000000"/>
                <w:sz w:val="14"/>
              </w:rPr>
            </w:r>
          </w:p>
        </w:tc>
        <w:tc>
          <w:tcPr>
            <w:tcW w:type="dxa" w:w="2496"/>
          </w:tcPr>
          <w:p>
            <w:pPr>
              <w:keepNext/>
            </w:pPr>
            <w:r/>
            <w:r>
              <w:rPr>
                <w:rFonts w:ascii="Calibri" w:hAnsi="Calibri"/>
                <w:b w:val="0"/>
                <w:i w:val="0"/>
                <w:color w:val="000000"/>
                <w:sz w:val="20"/>
              </w:rPr>
              <w:t>1 еднократен по палета + 1 USB во товарниот простор</w:t>
            </w:r>
            <w:r>
              <w:rPr>
                <w:rFonts w:ascii="Calibri" w:hAnsi="Calibri"/>
                <w:b w:val="0"/>
                <w:i w:val="0"/>
                <w:color w:val="000000"/>
                <w:sz w:val="14"/>
              </w:rPr>
              <w:t xml:space="preserve"> | </w:t>
            </w:r>
            <w:r>
              <w:rPr>
                <w:rFonts w:ascii="Calibri" w:hAnsi="Calibri"/>
                <w:b w:val="0"/>
                <w:i w:val="0"/>
                <w:color w:val="000000"/>
                <w:sz w:val="14"/>
              </w:rPr>
              <w:t>1 single-use per pallet + 1 USB in the load space</w:t>
            </w:r>
          </w:p>
        </w:tc>
        <w:tc>
          <w:tcPr>
            <w:tcW w:type="dxa" w:w="2496"/>
          </w:tcPr>
          <w:p>
            <w:pPr>
              <w:keepNext/>
            </w:pPr>
            <w:r/>
            <w:r>
              <w:rPr>
                <w:rFonts w:ascii="Calibri" w:hAnsi="Calibri"/>
                <w:b w:val="0"/>
                <w:i w:val="0"/>
                <w:color w:val="000000"/>
                <w:sz w:val="20"/>
              </w:rPr>
              <w:t>запечатени кеси во картони на палета, како погоре</w:t>
            </w:r>
            <w:r>
              <w:rPr>
                <w:rFonts w:ascii="Calibri" w:hAnsi="Calibri"/>
                <w:b w:val="0"/>
                <w:i w:val="0"/>
                <w:color w:val="000000"/>
                <w:sz w:val="14"/>
              </w:rPr>
              <w:t xml:space="preserve"> | </w:t>
            </w:r>
            <w:r>
              <w:rPr>
                <w:rFonts w:ascii="Calibri" w:hAnsi="Calibri"/>
                <w:b w:val="0"/>
                <w:i w:val="0"/>
                <w:color w:val="000000"/>
                <w:sz w:val="14"/>
              </w:rPr>
              <w:t>sealed bags in cartons on pallets, as above</w:t>
            </w:r>
          </w:p>
        </w:tc>
      </w:tr>
      <w:tr>
        <w:trPr>
          <w:cantSplit/>
        </w:trPr>
        <w:tc>
          <w:tcPr>
            <w:tcW w:type="dxa" w:w="2496"/>
          </w:tcPr>
          <w:p>
            <w:pPr>
              <w:keepNext/>
            </w:pPr>
            <w:r/>
            <w:r>
              <w:rPr>
                <w:rFonts w:ascii="Calibri" w:hAnsi="Calibri"/>
                <w:b w:val="0"/>
                <w:i w:val="0"/>
                <w:color w:val="000000"/>
                <w:sz w:val="20"/>
              </w:rPr>
              <w:t>Клонови</w:t>
            </w:r>
            <w:r>
              <w:rPr>
                <w:rFonts w:ascii="Calibri" w:hAnsi="Calibri"/>
                <w:b w:val="0"/>
                <w:i w:val="0"/>
                <w:color w:val="000000"/>
                <w:sz w:val="14"/>
              </w:rPr>
              <w:t xml:space="preserve"> | </w:t>
            </w:r>
            <w:r>
              <w:rPr>
                <w:rFonts w:ascii="Calibri" w:hAnsi="Calibri"/>
                <w:b w:val="0"/>
                <w:i w:val="0"/>
                <w:color w:val="000000"/>
                <w:sz w:val="14"/>
              </w:rPr>
              <w:t>Clones</w:t>
            </w:r>
          </w:p>
        </w:tc>
        <w:tc>
          <w:tcPr>
            <w:tcW w:type="dxa" w:w="1939"/>
          </w:tcPr>
          <w:p>
            <w:pPr>
              <w:keepNext/>
            </w:pPr>
            <w:r/>
            <w:r>
              <w:rPr>
                <w:rFonts w:ascii="Calibri" w:hAnsi="Calibri"/>
                <w:b w:val="0"/>
                <w:i w:val="0"/>
                <w:color w:val="000000"/>
                <w:sz w:val="20"/>
              </w:rPr>
              <w:t>+2 до +8 °C</w:t>
            </w:r>
            <w:r>
              <w:rPr>
                <w:rFonts w:ascii="Calibri" w:hAnsi="Calibri"/>
                <w:b w:val="0"/>
                <w:i w:val="0"/>
                <w:color w:val="000000"/>
                <w:sz w:val="14"/>
              </w:rPr>
              <w:t xml:space="preserve"> | </w:t>
            </w:r>
            <w:r>
              <w:rPr>
                <w:rFonts w:ascii="Calibri" w:hAnsi="Calibri"/>
                <w:b w:val="0"/>
                <w:i w:val="0"/>
                <w:color w:val="000000"/>
                <w:sz w:val="14"/>
              </w:rPr>
              <w:t>+2 to +8 °C</w:t>
            </w:r>
          </w:p>
        </w:tc>
        <w:tc>
          <w:tcPr>
            <w:tcW w:type="dxa" w:w="1036"/>
          </w:tcPr>
          <w:p>
            <w:pPr>
              <w:keepNext/>
            </w:pPr>
            <w:r/>
            <w:r>
              <w:rPr>
                <w:rFonts w:ascii="Calibri" w:hAnsi="Calibri"/>
                <w:b w:val="0"/>
                <w:i w:val="0"/>
                <w:color w:val="000000"/>
                <w:sz w:val="20"/>
              </w:rPr>
              <w:t>—</w:t>
            </w:r>
            <w:r>
              <w:rPr>
                <w:rFonts w:ascii="Calibri" w:hAnsi="Calibri"/>
                <w:b w:val="0"/>
                <w:i w:val="0"/>
                <w:color w:val="000000"/>
                <w:sz w:val="14"/>
              </w:rPr>
            </w:r>
          </w:p>
        </w:tc>
        <w:tc>
          <w:tcPr>
            <w:tcW w:type="dxa" w:w="2496"/>
          </w:tcPr>
          <w:p>
            <w:pPr>
              <w:keepNext/>
            </w:pPr>
            <w:r/>
            <w:r>
              <w:rPr>
                <w:rFonts w:ascii="Calibri" w:hAnsi="Calibri"/>
                <w:b w:val="0"/>
                <w:i w:val="0"/>
                <w:color w:val="000000"/>
                <w:sz w:val="20"/>
              </w:rPr>
              <w:t>1 еднократен во ладилникот + 1 USB</w:t>
            </w:r>
            <w:r>
              <w:rPr>
                <w:rFonts w:ascii="Calibri" w:hAnsi="Calibri"/>
                <w:b w:val="0"/>
                <w:i w:val="0"/>
                <w:color w:val="000000"/>
                <w:sz w:val="14"/>
              </w:rPr>
              <w:t xml:space="preserve"> | </w:t>
            </w:r>
            <w:r>
              <w:rPr>
                <w:rFonts w:ascii="Calibri" w:hAnsi="Calibri"/>
                <w:b w:val="0"/>
                <w:i w:val="0"/>
                <w:color w:val="000000"/>
                <w:sz w:val="14"/>
              </w:rPr>
              <w:t>1 single-use in the cool box + 1 USB</w:t>
            </w:r>
          </w:p>
        </w:tc>
        <w:tc>
          <w:tcPr>
            <w:tcW w:type="dxa" w:w="2496"/>
          </w:tcPr>
          <w:p>
            <w:pPr>
              <w:keepNext/>
            </w:pPr>
            <w:r/>
            <w:r>
              <w:rPr>
                <w:rFonts w:ascii="Calibri" w:hAnsi="Calibri"/>
                <w:b w:val="0"/>
                <w:i w:val="0"/>
                <w:color w:val="000000"/>
                <w:sz w:val="20"/>
              </w:rPr>
              <w:t>квалификуван ладилник</w:t>
            </w:r>
            <w:r>
              <w:rPr>
                <w:rFonts w:ascii="Calibri" w:hAnsi="Calibri"/>
                <w:b w:val="0"/>
                <w:i w:val="0"/>
                <w:color w:val="000000"/>
                <w:sz w:val="14"/>
              </w:rPr>
              <w:t xml:space="preserve"> | </w:t>
            </w:r>
            <w:r>
              <w:rPr>
                <w:rFonts w:ascii="Calibri" w:hAnsi="Calibri"/>
                <w:b w:val="0"/>
                <w:i w:val="0"/>
                <w:color w:val="000000"/>
                <w:sz w:val="14"/>
              </w:rPr>
              <w:t>qualified cool box</w:t>
            </w:r>
          </w:p>
        </w:tc>
      </w:tr>
      <w:tr>
        <w:trPr>
          <w:cantSplit/>
        </w:trPr>
        <w:tc>
          <w:tcPr>
            <w:tcW w:type="dxa" w:w="2496"/>
          </w:tcPr>
          <w:p>
            <w:pPr>
              <w:keepNext/>
            </w:pPr>
            <w:r/>
            <w:r>
              <w:rPr>
                <w:rFonts w:ascii="Calibri" w:hAnsi="Calibri"/>
                <w:b w:val="0"/>
                <w:i w:val="0"/>
                <w:color w:val="000000"/>
                <w:sz w:val="20"/>
              </w:rPr>
              <w:t>Семе</w:t>
            </w:r>
            <w:r>
              <w:rPr>
                <w:rFonts w:ascii="Calibri" w:hAnsi="Calibri"/>
                <w:b w:val="0"/>
                <w:i w:val="0"/>
                <w:color w:val="000000"/>
                <w:sz w:val="14"/>
              </w:rPr>
              <w:t xml:space="preserve"> | </w:t>
            </w:r>
            <w:r>
              <w:rPr>
                <w:rFonts w:ascii="Calibri" w:hAnsi="Calibri"/>
                <w:b w:val="0"/>
                <w:i w:val="0"/>
                <w:color w:val="000000"/>
                <w:sz w:val="14"/>
              </w:rPr>
              <w:t>Seeds</w:t>
            </w:r>
          </w:p>
        </w:tc>
        <w:tc>
          <w:tcPr>
            <w:tcW w:type="dxa" w:w="1939"/>
          </w:tcPr>
          <w:p>
            <w:pPr>
              <w:keepNext/>
            </w:pPr>
            <w:r/>
            <w:r>
              <w:rPr>
                <w:rFonts w:ascii="Calibri" w:hAnsi="Calibri"/>
                <w:b w:val="0"/>
                <w:i w:val="0"/>
                <w:color w:val="000000"/>
                <w:sz w:val="20"/>
              </w:rPr>
              <w:t>5–20 °C</w:t>
            </w:r>
            <w:r>
              <w:rPr>
                <w:rFonts w:ascii="Calibri" w:hAnsi="Calibri"/>
                <w:b w:val="0"/>
                <w:i w:val="0"/>
                <w:color w:val="000000"/>
                <w:sz w:val="14"/>
              </w:rPr>
            </w:r>
          </w:p>
        </w:tc>
        <w:tc>
          <w:tcPr>
            <w:tcW w:type="dxa" w:w="1036"/>
          </w:tcPr>
          <w:p>
            <w:pPr>
              <w:keepNext/>
            </w:pPr>
            <w:r/>
            <w:r>
              <w:rPr>
                <w:rFonts w:ascii="Calibri" w:hAnsi="Calibri"/>
                <w:b w:val="0"/>
                <w:i w:val="0"/>
                <w:color w:val="000000"/>
                <w:sz w:val="20"/>
              </w:rPr>
              <w:t>RH ≤ 60 %</w:t>
            </w:r>
            <w:r>
              <w:rPr>
                <w:rFonts w:ascii="Calibri" w:hAnsi="Calibri"/>
                <w:b w:val="0"/>
                <w:i w:val="0"/>
                <w:color w:val="000000"/>
                <w:sz w:val="14"/>
              </w:rPr>
            </w:r>
          </w:p>
        </w:tc>
        <w:tc>
          <w:tcPr>
            <w:tcW w:type="dxa" w:w="2496"/>
          </w:tcPr>
          <w:p>
            <w:pPr>
              <w:keepNext/>
            </w:pPr>
            <w:r/>
            <w:r>
              <w:rPr>
                <w:rFonts w:ascii="Calibri" w:hAnsi="Calibri"/>
                <w:b w:val="0"/>
                <w:i w:val="0"/>
                <w:color w:val="000000"/>
                <w:sz w:val="20"/>
              </w:rPr>
              <w:t>1 USB во товарниот простор</w:t>
            </w:r>
            <w:r>
              <w:rPr>
                <w:rFonts w:ascii="Calibri" w:hAnsi="Calibri"/>
                <w:b w:val="0"/>
                <w:i w:val="0"/>
                <w:color w:val="000000"/>
                <w:sz w:val="14"/>
              </w:rPr>
              <w:t xml:space="preserve"> | </w:t>
            </w:r>
            <w:r>
              <w:rPr>
                <w:rFonts w:ascii="Calibri" w:hAnsi="Calibri"/>
                <w:b w:val="0"/>
                <w:i w:val="0"/>
                <w:color w:val="000000"/>
                <w:sz w:val="14"/>
              </w:rPr>
              <w:t>1 USB in the load space</w:t>
            </w:r>
          </w:p>
        </w:tc>
        <w:tc>
          <w:tcPr>
            <w:tcW w:type="dxa" w:w="2496"/>
          </w:tcPr>
          <w:p>
            <w:pPr>
              <w:keepNext/>
            </w:pPr>
            <w:r/>
            <w:r>
              <w:rPr>
                <w:rFonts w:ascii="Calibri" w:hAnsi="Calibri"/>
                <w:b w:val="0"/>
                <w:i w:val="0"/>
                <w:color w:val="000000"/>
                <w:sz w:val="20"/>
              </w:rPr>
              <w:t>херметичка амбалажа</w:t>
            </w:r>
            <w:r>
              <w:rPr>
                <w:rFonts w:ascii="Calibri" w:hAnsi="Calibri"/>
                <w:b w:val="0"/>
                <w:i w:val="0"/>
                <w:color w:val="000000"/>
                <w:sz w:val="14"/>
              </w:rPr>
              <w:t xml:space="preserve"> | </w:t>
            </w:r>
            <w:r>
              <w:rPr>
                <w:rFonts w:ascii="Calibri" w:hAnsi="Calibri"/>
                <w:b w:val="0"/>
                <w:i w:val="0"/>
                <w:color w:val="000000"/>
                <w:sz w:val="14"/>
              </w:rPr>
              <w:t>airtight container</w:t>
            </w:r>
          </w:p>
        </w:tc>
      </w:tr>
      <w:tr>
        <w:trPr>
          <w:cantSplit/>
        </w:trPr>
        <w:tc>
          <w:tcPr>
            <w:tcW w:type="dxa" w:w="2496"/>
          </w:tcPr>
          <w:p>
            <w:r/>
            <w:r>
              <w:rPr>
                <w:rFonts w:ascii="Calibri" w:hAnsi="Calibri"/>
                <w:b w:val="0"/>
                <w:i w:val="0"/>
                <w:color w:val="000000"/>
                <w:sz w:val="20"/>
              </w:rPr>
              <w:t>Отпад за уништување</w:t>
            </w:r>
            <w:r>
              <w:rPr>
                <w:rFonts w:ascii="Calibri" w:hAnsi="Calibri"/>
                <w:b w:val="0"/>
                <w:i w:val="0"/>
                <w:color w:val="000000"/>
                <w:sz w:val="14"/>
              </w:rPr>
              <w:t xml:space="preserve"> | </w:t>
            </w:r>
            <w:r>
              <w:rPr>
                <w:rFonts w:ascii="Calibri" w:hAnsi="Calibri"/>
                <w:b w:val="0"/>
                <w:i w:val="0"/>
                <w:color w:val="000000"/>
                <w:sz w:val="14"/>
              </w:rPr>
              <w:t>Waste for destruction</w:t>
            </w:r>
          </w:p>
        </w:tc>
        <w:tc>
          <w:tcPr>
            <w:tcW w:type="dxa" w:w="1939"/>
          </w:tcPr>
          <w:p>
            <w:r/>
            <w:r>
              <w:rPr>
                <w:rFonts w:ascii="Calibri" w:hAnsi="Calibri"/>
                <w:b w:val="0"/>
                <w:i w:val="0"/>
                <w:color w:val="000000"/>
                <w:sz w:val="20"/>
              </w:rPr>
              <w:t>не е критична</w:t>
            </w:r>
            <w:r>
              <w:rPr>
                <w:rFonts w:ascii="Calibri" w:hAnsi="Calibri"/>
                <w:b w:val="0"/>
                <w:i w:val="0"/>
                <w:color w:val="000000"/>
                <w:sz w:val="14"/>
              </w:rPr>
              <w:t xml:space="preserve"> | </w:t>
            </w:r>
            <w:r>
              <w:rPr>
                <w:rFonts w:ascii="Calibri" w:hAnsi="Calibri"/>
                <w:b w:val="0"/>
                <w:i w:val="0"/>
                <w:color w:val="000000"/>
                <w:sz w:val="14"/>
              </w:rPr>
              <w:t>not critical</w:t>
            </w:r>
          </w:p>
        </w:tc>
        <w:tc>
          <w:tcPr>
            <w:tcW w:type="dxa" w:w="1036"/>
          </w:tcPr>
          <w:p>
            <w:r/>
            <w:r>
              <w:rPr>
                <w:rFonts w:ascii="Calibri" w:hAnsi="Calibri"/>
                <w:b w:val="0"/>
                <w:i w:val="0"/>
                <w:color w:val="000000"/>
                <w:sz w:val="20"/>
              </w:rPr>
              <w:t>—</w:t>
            </w:r>
            <w:r>
              <w:rPr>
                <w:rFonts w:ascii="Calibri" w:hAnsi="Calibri"/>
                <w:b w:val="0"/>
                <w:i w:val="0"/>
                <w:color w:val="000000"/>
                <w:sz w:val="14"/>
              </w:rPr>
            </w:r>
          </w:p>
        </w:tc>
        <w:tc>
          <w:tcPr>
            <w:tcW w:type="dxa" w:w="2496"/>
          </w:tcPr>
          <w:p>
            <w:r/>
            <w:r>
              <w:rPr>
                <w:rFonts w:ascii="Calibri" w:hAnsi="Calibri"/>
                <w:b w:val="0"/>
                <w:i w:val="0"/>
                <w:color w:val="000000"/>
                <w:sz w:val="20"/>
              </w:rPr>
              <w:t>не е задолжителен</w:t>
            </w:r>
            <w:r>
              <w:rPr>
                <w:rFonts w:ascii="Calibri" w:hAnsi="Calibri"/>
                <w:b w:val="0"/>
                <w:i w:val="0"/>
                <w:color w:val="000000"/>
                <w:sz w:val="14"/>
              </w:rPr>
              <w:t xml:space="preserve"> | </w:t>
            </w:r>
            <w:r>
              <w:rPr>
                <w:rFonts w:ascii="Calibri" w:hAnsi="Calibri"/>
                <w:b w:val="0"/>
                <w:i w:val="0"/>
                <w:color w:val="000000"/>
                <w:sz w:val="14"/>
              </w:rPr>
              <w:t>not required</w:t>
            </w:r>
          </w:p>
        </w:tc>
        <w:tc>
          <w:tcPr>
            <w:tcW w:type="dxa" w:w="2496"/>
          </w:tcPr>
          <w:p>
            <w:r/>
            <w:r>
              <w:rPr>
                <w:rFonts w:ascii="Calibri" w:hAnsi="Calibri"/>
                <w:b w:val="0"/>
                <w:i w:val="0"/>
                <w:color w:val="000000"/>
                <w:sz w:val="20"/>
              </w:rPr>
              <w:t>запечатени вреќи, записник</w:t>
            </w:r>
            <w:r>
              <w:rPr>
                <w:rFonts w:ascii="Calibri" w:hAnsi="Calibri"/>
                <w:b w:val="0"/>
                <w:i w:val="0"/>
                <w:color w:val="000000"/>
                <w:sz w:val="14"/>
              </w:rPr>
              <w:t xml:space="preserve"> | </w:t>
            </w:r>
            <w:r>
              <w:rPr>
                <w:rFonts w:ascii="Calibri" w:hAnsi="Calibri"/>
                <w:b w:val="0"/>
                <w:i w:val="0"/>
                <w:color w:val="000000"/>
                <w:sz w:val="14"/>
              </w:rPr>
              <w:t>sealed sacks, record</w:t>
            </w:r>
          </w:p>
        </w:tc>
      </w:tr>
    </w:tbl>
    <w:p>
      <w:pPr>
        <w:keepNext w:val="0"/>
        <w:spacing w:before="0" w:after="0" w:lineRule="exact" w:line="120"/>
      </w:pPr>
    </w:p>
    <w:tbl>
      <w:tblPr>
        <w:tblW w:type="auto" w:w="0"/>
        <w:jc w:val="center"/>
        <w:tblLayout w:type="fixed"/>
        <w:tblLook w:firstColumn="1" w:firstRow="1" w:lastColumn="0" w:lastRow="0" w:noHBand="0" w:noVBand="1" w:val="04A0"/>
        <w:tblLayout w:type="fixed"/>
      </w:tblPr>
      <w:tblGrid>
        <w:gridCol w:w="5233"/>
        <w:gridCol w:w="5233"/>
      </w:tblGrid>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6.2 Фаза 1 — Планирање и процена на ризик</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6.2 Stage 1 — Planning and risk assessment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6.2.1 Иницијаторот (Логистика за меѓупроизвод и производ, Култивација за пропагационен материјал) го пријавува барањето до Сектор Обезбедување најмалку 5 работни дена пред планираниот датум, со: вид и количина на материјал (нето маса во грамови), број на палети (G/M), картони и кеси, примач, планиран датум и посебни услови.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6.2.1 The initiator (Logistics for intermediate and product, Cultivation for propagation material) submits the request to Security at least 5 working days before the planned date, stating: type and quantity of material (net mass in grams), number of pallets (L/S), cartons and bags, consignee, planned date and special conditions.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6.2.2 Сектор Обезбедување проверува дали рутата е со статус QUALIFIED и важечка сезонска квалификација во QASOP_0XX_A06, за истото возило и истата конфигурација на палети, и дека превозникот е на листата на одобрени добавувачи. Ако не е, транспортот не се изведува додека QA не одобри квалификација или документирана исклучителна мерка преку контрола на промени.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6.2.2 Security verifies that the lane holds QUALIFIED status and a valid seasonal qualification in QASOP_0XX_A06, for the same vehicle and the same pallet configuration, and that the carrier is on the approved supplier list. If it does not, the transport is not performed until QA approves a qualification or a documented exceptional measure via change control.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6.2.3 Логистика генерира UTID и ја пополнува Процената на ризик од транспорт (WHSOP_003_A01): безбедност, сезонска температура, времетраење, стабилност на материјалот, распоред на палетите во возилото, точки на запирање и мерки за намалување на ризикот. QA го одобрува TRA пред барањето до МВР.</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6.2.3 Logistics generates the UTID and completes the Transport Risk Assessment (WHSOP_003_A01): security, seasonal temperature, duration, material stability, arrangement of the pallets in the vehicle, stopping points and mitigation measures. QA approves the TRA before the request to the MoIA.</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6.3 Фаза 2 — Барање за полициско придружување (најмалку 24 часа пред отпремата)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6.3 Stage 2 — Request for police escort (at least 24 hours before dispatch)</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6.3.1 Сектор Обезбедување го пополнува Барањето за полициско придружување и известување за транспорт до МВР (WHSOP_003_A02) со: податоци за Пјурли Плант и број на дозвола, UTID, датум и време на поаѓање и очекувано пристигнување, адреса на испраќање и прием, намена, вкупна нето количина (g), број на палети, картони и кеси, превозник, регистарски број на возилото, возачот и (ако е одреден) придружникот, опис на рутата и предложено место и време на почеток на придружувањето.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6.3.1 Security completes the Request for police escort and notification of transport to the MoIA (WHSOP_003_A02) with: Purely Plant details and licence number, UTID, departure date/time and expected arrival, dispatch and receipt addresses, purpose, total net quantity (g), number of pallets, cartons and bags, carrier, vehicle registration, the driver and (if designated) the accompanying person, route description and the proposed place and time at which the escort starts.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6.3.2 Барањето се поднесува најмалку 24 часа пред поаѓањето (лично со заверка — препорачано, препорачана пошта со повратница или официјална е-пошта ако е прифатена). Писмената потврда од МВР (заверка или допис) е ЗАДОЛЖИТЕЛНА пред отпремата; ако не е добиена или придружувањето не се појави, отпремата се одложува и се известува QP.</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6.3.2 The request is submitted at least 24 hours before departure (in person with stamp — preferred, registered mail with return receipt, or official e-mail where accepted). Written MoIA confirmation (stamp or letter) is MANDATORY before dispatch; if it is not received or the escort does not arrive, dispatch is postponed and the QP is informed.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6.4 Фаза 3 — Формирање на палети, означување и логери</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6.4 Stage 3 — Palletising, labelling and loggers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6.4.1 Материјалот се зема од складиштето во статус ОДОБРЕНО, со двојна проверка од две лица (идентитет на кесата, серија, нето маса); двете лица потпишуваат на листата на пакување на картонот (WHSOP_003_A03). При неусогласеност — СТОП, истрага и решавање пред продолжување.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6.4.1 The material is taken from storage in APPROVED status, with two-person verification (bag identity, batch, net mass); both persons sign the carton packing list (WHSOP_003_A03). On any discrepancy — STOP, investigate and resolve before proceeding.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6.4.2 Картон: 10 кеси, листа на пакување на картонот во проѕирна плика на картонот и копија во досието; картонот се затвора со серијализирана безбедносна лента; етикетата на картонот (A03) се лепи на една страна. Палета: голема — 8 картони, мала — 4 картони, на евро-палета; картоните се редат без препуштање преку работ на палетата; палетата се завиткува со стреч-фолија, преку неа со термо-ќебе, и повторно со стреч-фолија; крајот на фолијата се лепи со безбедносна лента потпишана и датирана од двете лица.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6.4.2 Carton: 10 bags, the carton packing list in a clear pouch on the carton and a copy in the file; the carton is closed with serialised security tape; the carton label (A03) is applied on one side. Pallet: large — 8 cartons, small — 4 cartons, on a Euro pallet; cartons are stacked without overhanging the pallet edge; the pallet is wrapped in stretch film, then the thermal blanket over it, then stretch film again; the film end is closed with security tape signed and dated by both persons.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6.4.3 Етикети (систем на хартија, без бар-кодови и скенери): етикетите се печатат од контролираниот документ — образец за етикети, чиј код и верзија се запишуваат во WHSOP_003_A03 §2 (N/A со образложение, ако за видот етикета нема посебен образец), со големи читливи знаци; по еден примерок од секој вид етикета се лепи во A03 §3; етикетата на палетата се става во проѕирна плика на две соседни страни на надворешното завиткување. Пред лепење, второ лице ги споредува етикетите со листите на пакување и го потпишува тоа. Корекциите се прават според добрата документациска пракса (една линија, иницијали, датум); испишана етикета не се пребришува — се печати нова, а погрешната се поништува и се чува.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6.4.3 Labels (paper-based system, no barcodes or scanners): labels are printed from the controlled label-template document whose code and version are recorded in WHSOP_003_A03 §2 (N/A with justification where a label type has no separate template), in large legible characters; one specimen of each label type is affixed in A03 §3; the pallet label is placed in a clear pouch on two adjacent sides of the outer wrap. Before application, a second person compares the labels with the packing lists and signs for it. Corrections follow good documentation practice (single line, initials, date); a printed label is never overwritten — a new one is printed and the wrong one is voided and retained.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6.4.4 Надворешната етикета на палетата содржи: UTID и ID на палетата, тип (G/M), „палета n од N“, број на картони и кеси, испраќач и примач со контакт, услови на чување (15–25 °C, RH ≤ 60 %, заштита од влага), „ПРАТКА ПОД КОНТРОЛА — САМО ОВЛАСТЕН ТРАНСПОРТ“ и број за итни случаи. Таа не ја опишува содржината пошироко од потребното за испорака; сериите и масите се во листата на пакување на палетата, во запечатена плика прикачена на палетата.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6.4.4 The external pallet label carries: UTID and pallet ID, type (L/S), "pallet n of N", number of cartons and bags, consignor and consignee with contact, storage conditions (15–25 °C, RH ≤ 60 %, protect from moisture), "CONTROLLED CONSIGNMENT — AUTHORISED TRANSPORT ONLY" and an emergency number. It does not describe the contents beyond what delivery requires; batches and masses are on the pallet packing list, in a sealed envelope attached to the pallet.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6.4.5 Логери: (а) по еден логер за еднократна употреба во секоја палета — се активира и се проверува (почетно време, интервал, граници на аларм), се поставува во горниот слој, во аголот на палетата свртен кон вратите на товарниот простор (или во најлошата позиција утврдена со PQ), меѓу два картона, под термо-ќебето, без допир со фолијата; серискиот број се запишува на листата на пакување на палетата и во A04; (б) еден USB логер за температура и влага во товарниот простор, на рутинската позиција утврдена со OQ (QASOP_0XX), со важечка калибрација. Логерите не се ставаат во запечатените картони, за да може примачот да ги извади без да ги отвора.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6.4.5 Loggers: (a) one single-use logger in every pallet — activated and checked (start time, interval, alarm limits), placed in the top layer, at the pallet corner facing the load-space doors (or at the worst-case position established in PQ), between two cartons, under the thermal blanket and not touching the film; its serial number is recorded on the pallet packing list and in A04; (b) one USB temperature and humidity logger in the load space, at the routine position established in OQ (QASOP_0XX), with valid calibration. Loggers are not placed inside the sealed cartons, so that the consignee can remove them without opening the cartons.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6.4.6 Ретенциони мостри за купувачот и за продавачот на мало: КК ги подготвува според договорот (број и маса по серија), секоја во запечатен контејнер со етикета од образецот наведен во A03 §2, означен со серијата, P серијата, нето масата, примачот на мострата (купувач / продавач на мало), датумот и „РЕТЕНЦИОНА МОСТРА“; ги евидентира во листата на ретенциони мостри (WHSOP_003_A03 §7) со двојна проверка. Мострите се ставаат во посебен картон за мостри (UTID-RS), затворен со безбедносна лента и означен како картон, кој се товари во товарниот простор и се брои на секоја точка на предавање. Бројот и масата на мострите се вклучени во вкупната количина во A02, A04 и 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6.4.6 Retention samples for the buyer and the retailer: QC prepares them per the contract (number and mass per batch), each in a sealed container with a label from the template listed in A03 §2, showing the batch, the P lot, the net mass, the sample recipient (buyer / retailer), the date and "RETENTION SAMPLE"; it records them in the retention-sample list (WHSOP_003_A03 §7) with two-person verification. The samples are placed in a separate sample carton (UTID-RS), closed with security tape and labelled as a carton, which is loaded in the load space and counted at every transfer point. The number and mass of the samples are included in the total quantity in A02, A04 and A06.</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6.5 Фаза 4 — Отпрема и почеток на ланецот на надзор</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6.5 Stage 4 — Dispatch and start of the chain of custody</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6.5.1 Пред предавањето, Обезбедување и Логистика ја пополнуваат Чек-листата пред отпрема (WHSOP_003_A05, дел А): писмена потврда од МВР, одобрен TRA, рута QUALIFIED, палети, етикети и листи на пакување, пломби и ленти, логери, документи, идентитет на лицата и возилото, состојба на возилото. Ако ЕДНА ставка не е потврдена, транспортот НЕ започнува.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6.5.1 Before hand-over, Security and Logistics complete the Pre-dispatch Checklist (WHSOP_003_A05, part A): written MoIA confirmation, approved TRA, lane QUALIFIED, pallets, labels and packing lists, seals and tapes, loggers, documents, identity of the persons and the vehicle, vehicle condition. If ANY item is not confirmed, the transport does NOT start.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6.5.2 Возилото на превозникот се проверува: регистарски број според A02, чист, сув и заклучлив товарен простор без мириси и штетници. Ако возилото има активна контрола на температура, таа се поставува на опсегот од 6.1 и се предкондиционира најмалку 30 минути; ако нема, заштитата е пасивна (термо-ќебе) и важи само за времетраењето и сезоната квалификувани во QASOP_0XX. Видот на контролата се означува во A04 §3 и A05. Возачот (и придружникот) се брифираат за рутата, временскиот прозорец, забраната за непланирани застанувања и протоколот за инциденти.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6.5.2 The carrier's vehicle is checked: registration as per A02, clean, dry and lockable load space free of odours and pests. If the vehicle has active temperature control, it is set to the range in 6.1 and pre-conditioned for at least 30 minutes; if it has none, protection is passive (thermal blanket) and is valid only for the duration and season qualified in QASOP_0XX. The type of control is ticked in A04 §3 and A05. The driver (and accompanying person) are briefed on the route, time window, prohibition of unscheduled stops and incident protocol.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6.5.3 Палетите се товарат по распоредот од TRA, се обезбедуваат против поместување и не се допираат до ѕидовите и вратите; се фотографираат натоварените палети и пломбата на вратата. На точката на предавање 1 (Пјурли Плант → возач на превозникот и, ако е одреден, придружникот), во присуство на полициското придружување, се бројат палетите, се проверува целоста на завиткувањето и броевите на пломбите, и се потпишува WHSOP_003_A04; Раководителот на Обезбедување ја одобрува отпремата и го евидентира времето на поаѓање.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6.5.3 The pallets are loaded according to the arrangement in the TRA, secured against movement and kept clear of the walls and doors; the loaded pallets and the door seal are photographed. At transfer point 1 (Purely Plant → the carrier's driver and, if designated, the accompanying person), in the presence of the police escort, the pallets are counted, the integrity of the wrapping and the seal numbers are checked, and WHSOP_003_A04 is signed; the Head of Security authorises dispatch and records the departure time.</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6.6 Фаза 5 — Контрола во транзит</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6.6 Stage 5 — In-transit control</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6.6.1 Возачот ја следи одобрената рута под полициско придружување, без отстапување; возилото никогаш не се остава без надзор; се застанува само на места одобрени во TRA или по барање на придружувањето, и содржината не се открива. Принудно отстапување (затворен пат, итност) се договара со придружувањето, веднаш се пријавува и се документира.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6.6.1 The driver follows the approved route under police escort, without deviation; the vehicle is never left unattended; stops are made only at points approved in the TRA or at the request of the escort, and the contents are not disclosed. Any forced deviation (road closure, emergency) is agreed with the escort, reported immediately and documented.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6.6.2 Возачот (или придружникот, ако е одреден) ги евидентира контролните јавувања до Сектор Обезбедување по телефон во WHSOP_003_A04 §4.2: поаѓање, средина на рутата (ако е над 2 часа), 15–30 мин пред пристигнување, пристигнување — време, место, целост на пломбата и (ако возилото има дисплеј) температура на товарниот простор. Не се користи електронски систем за следење; рутата се потврдува со дневникот на јавувања и со потписите на точките на предавање.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6.6.2 The driver (or the accompanying person, if designated) records the check-in calls to Security by telephone in WHSOP_003_A04 §4.2: departure, mid-route (if over 2 hours), 15–30 min before arrival, arrival — time, place, seal integrity and (if the vehicle has a display) load-space temperature. No electronic tracking system is used; the route is confirmed by the call log and the signatures at the transfer points.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6.6.3 Инциденти (оштетена пломба или завиткување, дефект, сообраќајна незгода, доцнење над 2 часа, аларм на логер, безбедносен инцидент) се пријавуваат во рок од 15 минути: возач → диспечер на превозникот и Обезбедување Пјурли Плант → QA → QP (при критичен инцидент). Безбедносните инциденти на патот ги презема полициското придружување. Палетите не се отвораат. Инцидентот се евидентира во WHSOP_003_A04 и се отвора отстапување (QAS-05-002).</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6.6.3 Incidents (damaged seal or wrapping, breakdown, traffic accident, delay over 2 hours, logger alarm, security incident) are reported within 15 minutes: driver → carrier dispatch and Purely Plant Security → QA → QP (for critical incidents). Security incidents on the road are handled by the police escort. Pallets are not opened. The incident is recorded in WHSOP_003_A04 and a deviation is opened (QAS-05-002).</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6.7 Фаза 6 — Прием и проверка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6.7 Stage 6 — Receipt and verification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6.7.1 Пред потпис, примачот ја пополнува Чек-листата за прием (WHSOP_003_A05, дел Б): идентитет на лицата и возилото, број на палети, целост на завиткувањето, безбедносните ленти и пломбата на вратата, совпаѓање на етикетите на палетите со манифестот, број на картони по палета.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6.7.1 Before signing, the consignee completes the Receipt Checklist (WHSOP_003_A05, part B): identity of the persons and the vehicle, number of pallets, integrity of the wrapping, security tapes and door seal, match of the pallet labels with the manifest, number of cartons per pallet.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6.7.2 Примачот го одвиткува секоја палета, го вади логерот за еднократна употреба, го запира и ги запишува минимумот, максимумот и статусот на алармот (ако логерот го покажува), потоа ги брои картоните и ги проверува безбедносните ленти; го прима картонот со ретенциони мостри (UTID-RS) и го потврдува бројот на мострите за купувачот и за продавачот на мало според A03 §7; кесите во картоните ги проверува според листата на пакување при отворањето. Логерите или нивните PDF-извештаи се враќаат на Пјурли Плант во рок од 24 часа.</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6.7.2 The consignee unwraps each pallet, removes the single-use logger, stops it and records the minimum, maximum and alarm status (where the logger shows it), then counts the cartons and checks the security tapes; receives the retention-sample carton (UTID-RS) and confirms the number of samples for the buyer and the retailer against A03 §7; the bags in the cartons are checked against the packing list when the cartons are opened. The loggers or their PDF reports are returned to Purely Plant within 24 hours.</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6.7.3 Ако пломбата или завиткувањето е оштетено или бројот не одговара, пратката НЕ се прифаќа: се фотографира, се известува QA на Пјурли Плант и се чека диспозиција. При аларм на логер или разлика во бројот/масата, пратката може да се прими „со резерва“ само по одлука на QA. Точка на предавање 2 (возач → примач) се потпишува и заверува во WHSOP_003_A04 со статус на прием: ПРИФАТЕНО / ПРИФАТЕНО СО РЕЗЕРВА / ОДБИЕНО.</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6.7.3 If the seal or wrapping is damaged or the count does not match, the consignment is NOT accepted: it is photographed, Purely Plant QA is notified and disposition is awaited. On a logger alarm or a count/mass discrepancy, the consignment may be received "with reservation" only on a QA decision. Transfer point 2 (driver → consignee) is signed and stamped in WHSOP_003_A04 with the receipt status: ACCEPTED / ACCEPTED WITH RESERVATION / REJECTED.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6.8 Фаза 7 — Порамнување, известување по транспортот и архивирање</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6.8 Stage 7 — Reconciliation, post-transport notification and archiving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6.8.1 Во рок од 24 часа по испораката возачот (или придружникот) ги враќа: потпишаниот A04 и A05, USB логерот, фотографиите и скршените пломби; логерите за еднократна употреба или нивните PDF-извештаи ги враќа примачот. QA ги презема податоците од USB логерот со верификуваниот софтвер и ги чува изворните датотеки неизменети.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6.8.1 Within 24 hours of delivery the driver (or the accompanying person) returns: the signed A04 and A05, the USB logger, the photographs and the broken seals; the single-use loggers or their PDF reports are returned by the consignee. QA downloads the USB logger data with the verified software and keeps the original files unaltered.</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6.8.2 Се порамнува количината на три нивоа — палети, картони и кеси — и посебно ретенционите мостри; испратена нето маса наспроти примена маса по картон. Разлика над прецизноста на вагата на примачот се истражува како отстапување.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6.8.2 The quantity is reconciled at three levels — pallets, cartons and bags — and separately the retention samples; dispatched net mass against received mass per carton. Any difference beyond the precision of the consignee's balance is investigated as a deviation.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6.8.3 Во рок од 3 работни дена по транспортот, Обезбедување го изготвува Известувањето по транспортот до МЗ (WHSOP_003_A06); QP го потпишува и се поднесува со доказ за поднесување.</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6.8.3 Within 3 working days after the transport, Security prepares the post-transport notification to the MoH (WHSOP_003_A06); the QP signs it and it is submitted with proof of submission.</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6.8.4 QA го прегледува досието во рок од 48 часа и ја евидентира диспозицијата во WHSOP_003_A07: ОДОБРЕНО / ОДОБРЕНО СО ОТСТАПУВАЊЕ / НЕУСОГЛАСЕНО (QP одлучува за материјалот). Податоците од сите логери се додаваат во трендот на рутата (QASOP_0XX_A06).</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6.8.4 QA reviews the file within 48 hours and records the disposition in WHSOP_003_A07: APPROVED / APPROVED WITH DEVIATION / NON-COMPLIANT (QP decides on the material). The data from all loggers are added to the lane trend (QASOP_0XX_A06).</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6.8.5 Досието се архивира под UTID: A01–A07, потврда од МВР, листи на пакување, поништени етикети, извештаи од логерите, фотографии и отстапувања. Рок на чување: најмалку 5 години или 1 година по истекот на рокот на употреба на серијата, што е подолго (EU GMP Part I §4.11).</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6.8.5 The file is archived under the UTID: A01–A07, MoIA confirmation, packing lists, voided labels, logger reports, photographs and deviations. Retention: at least 5 years or 1 year after batch expiry, whichever is longer (EU GMP Part I §4.11).</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6.9 Управување со отстапувања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6.9 Deviation management</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Отстапување е секое неисполнување на оваа СОП: регулаторно (отпрема без потврда од МВР или без придружување, доцнење на известувањето до МЗ), безбедносно (пломба, лента, завиткување, рута, инцидент), за интегритет (аларм на логер, оштетување, губење) или документациско (неусогласена етикета или листа на пакување). Пратката се задржува/сегрегира во КАРАНТИН, се известува QA и се води истрага и CAPA според QAS-05-002 / QAS-05-001; при критично отстапување QP ја носи диспозицијата. Екскурзијата се оценува со податоците за стабилност и MKT; без оценка, материјалот не се користи.</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 deviation is any failure to meet this SOP: regulatory (dispatch without MoIA confirmation or without escort, late MoH notification), security (seal, tape, wrapping, route, incident), integrity (logger alarm, damage, loss) or documentary (label or packing list mismatch). The consignment is held/segregated in QUARANTINE, QA is notified and an investigation and CAPA are performed per QAS-05-002 / QAS-05-001; for a critical deviation the QP decides the disposition. An excursion is assessed against stability data and the MKT; without that assessment the material is not used.</w:t>
            </w:r>
          </w:p>
        </w:tc>
      </w:tr>
      <w:tr>
        <w:trPr>
          <w:cantSplit/>
        </w:trPr>
        <w:tc>
          <w:tcPr>
            <w:tcW w:type="dxa" w:w="5102"/>
            <w:tcBorders>
              <w:top w:val="nil"/>
              <w:left w:val="nil"/>
              <w:bottom w:val="nil"/>
              <w:right w:val="single" w:sz="4" w:color="000000"/>
            </w:tcBorders>
          </w:tcPr>
          <w:p>
            <w:pPr>
              <w:pStyle w:val="Heading2"/>
              <w:keepNext/>
              <w:spacing w:before="120" w:after="40"/>
            </w:pPr>
            <w:r/>
            <w:r>
              <w:rPr>
                <w:rFonts w:ascii="Calibri" w:hAnsi="Calibri"/>
                <w:b/>
                <w:i w:val="0"/>
                <w:color w:val="000000"/>
                <w:sz w:val="22"/>
              </w:rPr>
              <w:t>6.10 Обука</w:t>
            </w:r>
          </w:p>
        </w:tc>
        <w:tc>
          <w:tcPr>
            <w:tcW w:type="dxa" w:w="5102"/>
            <w:tcBorders>
              <w:top w:val="nil"/>
              <w:left w:val="single" w:sz="4" w:color="000000"/>
              <w:bottom w:val="nil"/>
              <w:right w:val="nil"/>
            </w:tcBorders>
          </w:tcPr>
          <w:p>
            <w:pPr>
              <w:keepNext/>
              <w:spacing w:before="120" w:after="40"/>
            </w:pPr>
            <w:r/>
            <w:r>
              <w:rPr>
                <w:rFonts w:ascii="Calibri" w:hAnsi="Calibri"/>
                <w:b/>
                <w:i w:val="0"/>
                <w:color w:val="595959"/>
                <w:sz w:val="22"/>
              </w:rPr>
              <w:t>6.10 Training</w:t>
            </w:r>
          </w:p>
        </w:tc>
      </w:tr>
      <w:tr>
        <w:tc>
          <w:tcPr>
            <w:tcW w:type="dxa" w:w="5102"/>
            <w:tcBorders>
              <w:top w:val="nil"/>
              <w:left w:val="nil"/>
              <w:bottom w:val="nil"/>
              <w:right w:val="single" w:sz="4" w:color="000000"/>
            </w:tcBorders>
          </w:tcPr>
          <w:p>
            <w:pPr>
              <w:spacing w:before="0" w:after="120"/>
              <w:jc w:val="both"/>
            </w:pPr>
            <w:r/>
            <w:r>
              <w:rPr>
                <w:rFonts w:ascii="Calibri" w:hAnsi="Calibri"/>
                <w:b w:val="0"/>
                <w:i w:val="0"/>
                <w:color w:val="000000"/>
                <w:sz w:val="22"/>
              </w:rPr>
              <w:t>Целиот вклучен персонал на Пјурли Плант (Логистика, Обезбедување, придружници, КК, QA) се обучува за оваа СОП и анексите пред ефективниот датум и при секоја ревизија, со документирана евиденција (HR-01-006); освежителна обука најмалку на секои 2 години. Превозникот ги обучува своите возачи за барањата од оваа СОП што се однесуваат на нив (придружување, ланец на надзор, логери, инциденти, документи на хартија) според Договорот за квалитет и доставува доказ пред првиот транспорт.</w:t>
            </w:r>
          </w:p>
        </w:tc>
        <w:tc>
          <w:tcPr>
            <w:tcW w:type="dxa" w:w="5102"/>
            <w:tcBorders>
              <w:top w:val="nil"/>
              <w:left w:val="single" w:sz="4" w:color="000000"/>
              <w:bottom w:val="nil"/>
              <w:right w:val="nil"/>
            </w:tcBorders>
          </w:tcPr>
          <w:p>
            <w:pPr>
              <w:spacing w:before="0" w:after="120"/>
              <w:jc w:val="both"/>
            </w:pPr>
            <w:r/>
            <w:r>
              <w:rPr>
                <w:rFonts w:ascii="Calibri" w:hAnsi="Calibri"/>
                <w:b w:val="0"/>
                <w:i w:val="0"/>
                <w:color w:val="595959"/>
                <w:sz w:val="22"/>
              </w:rPr>
              <w:t>All involved Purely Plant personnel (Logistics, Security, accompanying persons, QC, QA) are trained on this SOP and its annexes before the effective date and at every revision, with documented records (HR-01-006); refresher training at least every 2 years. The carrier trains its drivers on the requirements of this SOP that apply to them (escort, chain of custody, loggers, incidents, paper records) per the Quality Agreement and provides evidence before the first transport.</w:t>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7.0 ЗАПИСИ</w:t>
      </w:r>
      <w:r>
        <w:rPr>
          <w:rFonts w:ascii="Calibri" w:hAnsi="Calibri"/>
          <w:b w:val="0"/>
          <w:i w:val="0"/>
          <w:color w:val="000000"/>
          <w:sz w:val="24"/>
        </w:rPr>
        <w:tab/>
      </w:r>
      <w:r>
        <w:rPr>
          <w:rFonts w:ascii="Calibri" w:hAnsi="Calibri"/>
          <w:b/>
          <w:i w:val="0"/>
          <w:color w:val="595959"/>
          <w:sz w:val="24"/>
        </w:rPr>
        <w:t>7.0 RECORDS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1826"/>
        <w:gridCol w:w="4320"/>
        <w:gridCol w:w="4320"/>
      </w:tblGrid>
      <w:tr>
        <w:trPr>
          <w:cantSplit/>
          <w:tblHeader w:val="true"/>
        </w:trPr>
        <w:tc>
          <w:tcPr>
            <w:shd w:val="clear" w:color="auto" w:fill="D9E2F3"/>
            <w:tcW w:type="dxa" w:w="1826"/>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4320"/>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c>
          <w:tcPr>
            <w:shd w:val="clear" w:color="auto" w:fill="D9E2F3"/>
            <w:tcW w:type="dxa" w:w="4320"/>
          </w:tcPr>
          <w:p>
            <w:pPr>
              <w:keepNext/>
            </w:pPr>
            <w:r/>
            <w:r>
              <w:rPr>
                <w:rFonts w:ascii="Calibri" w:hAnsi="Calibri"/>
                <w:b/>
                <w:i w:val="0"/>
                <w:color w:val="000000"/>
                <w:sz w:val="22"/>
              </w:rPr>
              <w:t>Кој пополнува</w:t>
            </w:r>
            <w:r>
              <w:rPr>
                <w:rFonts w:ascii="Calibri" w:hAnsi="Calibri"/>
                <w:b w:val="0"/>
                <w:i w:val="0"/>
                <w:color w:val="000000"/>
                <w:sz w:val="14"/>
              </w:rPr>
              <w:t xml:space="preserve"> | </w:t>
            </w:r>
            <w:r>
              <w:rPr>
                <w:rFonts w:ascii="Calibri" w:hAnsi="Calibri"/>
                <w:b/>
                <w:i w:val="0"/>
                <w:color w:val="000000"/>
                <w:sz w:val="14"/>
              </w:rPr>
              <w:t>Completed by</w:t>
            </w:r>
          </w:p>
        </w:tc>
      </w:tr>
      <w:tr>
        <w:trPr>
          <w:cantSplit/>
        </w:trPr>
        <w:tc>
          <w:tcPr>
            <w:tcW w:type="dxa" w:w="1826"/>
          </w:tcPr>
          <w:p>
            <w:pPr>
              <w:keepNext/>
            </w:pPr>
            <w:r/>
            <w:r>
              <w:rPr>
                <w:rFonts w:ascii="Calibri" w:hAnsi="Calibri"/>
                <w:b w:val="0"/>
                <w:i w:val="0"/>
                <w:color w:val="000000"/>
                <w:sz w:val="22"/>
              </w:rPr>
              <w:t>WHSOP_003_A01</w:t>
            </w:r>
            <w:r>
              <w:rPr>
                <w:rFonts w:ascii="Calibri" w:hAnsi="Calibri"/>
                <w:b w:val="0"/>
                <w:i w:val="0"/>
                <w:color w:val="000000"/>
                <w:sz w:val="14"/>
              </w:rPr>
            </w:r>
          </w:p>
        </w:tc>
        <w:tc>
          <w:tcPr>
            <w:tcW w:type="dxa" w:w="4320"/>
          </w:tcPr>
          <w:p>
            <w:pPr>
              <w:keepNext/>
            </w:pPr>
            <w:r/>
            <w:r>
              <w:rPr>
                <w:rFonts w:ascii="Calibri" w:hAnsi="Calibri"/>
                <w:b w:val="0"/>
                <w:i w:val="0"/>
                <w:color w:val="000000"/>
                <w:sz w:val="22"/>
              </w:rPr>
              <w:t>Процена на ризик од транспорт (TRA)</w:t>
            </w:r>
            <w:r>
              <w:rPr>
                <w:rFonts w:ascii="Calibri" w:hAnsi="Calibri"/>
                <w:b w:val="0"/>
                <w:i w:val="0"/>
                <w:color w:val="000000"/>
                <w:sz w:val="14"/>
              </w:rPr>
              <w:t xml:space="preserve"> | </w:t>
            </w:r>
            <w:r>
              <w:rPr>
                <w:rFonts w:ascii="Calibri" w:hAnsi="Calibri"/>
                <w:b w:val="0"/>
                <w:i w:val="0"/>
                <w:color w:val="000000"/>
                <w:sz w:val="14"/>
              </w:rPr>
              <w:t>Transport Risk Assessment (TRA)</w:t>
            </w:r>
          </w:p>
        </w:tc>
        <w:tc>
          <w:tcPr>
            <w:tcW w:type="dxa" w:w="4320"/>
          </w:tcPr>
          <w:p>
            <w:pPr>
              <w:keepNext/>
            </w:pPr>
            <w:r/>
            <w:r>
              <w:rPr>
                <w:rFonts w:ascii="Calibri" w:hAnsi="Calibri"/>
                <w:b w:val="0"/>
                <w:i w:val="0"/>
                <w:color w:val="000000"/>
                <w:sz w:val="22"/>
              </w:rPr>
              <w:t>Логистика, QA</w:t>
            </w:r>
            <w:r>
              <w:rPr>
                <w:rFonts w:ascii="Calibri" w:hAnsi="Calibri"/>
                <w:b w:val="0"/>
                <w:i w:val="0"/>
                <w:color w:val="000000"/>
                <w:sz w:val="14"/>
              </w:rPr>
              <w:t xml:space="preserve"> | </w:t>
            </w:r>
            <w:r>
              <w:rPr>
                <w:rFonts w:ascii="Calibri" w:hAnsi="Calibri"/>
                <w:b w:val="0"/>
                <w:i w:val="0"/>
                <w:color w:val="000000"/>
                <w:sz w:val="14"/>
              </w:rPr>
              <w:t>Logistics, QA</w:t>
            </w:r>
          </w:p>
        </w:tc>
      </w:tr>
      <w:tr>
        <w:trPr>
          <w:cantSplit/>
        </w:trPr>
        <w:tc>
          <w:tcPr>
            <w:tcW w:type="dxa" w:w="1826"/>
          </w:tcPr>
          <w:p>
            <w:pPr>
              <w:keepNext/>
            </w:pPr>
            <w:r/>
            <w:r>
              <w:rPr>
                <w:rFonts w:ascii="Calibri" w:hAnsi="Calibri"/>
                <w:b w:val="0"/>
                <w:i w:val="0"/>
                <w:color w:val="000000"/>
                <w:sz w:val="22"/>
              </w:rPr>
              <w:t>WHSOP_003_A02</w:t>
            </w:r>
            <w:r>
              <w:rPr>
                <w:rFonts w:ascii="Calibri" w:hAnsi="Calibri"/>
                <w:b w:val="0"/>
                <w:i w:val="0"/>
                <w:color w:val="000000"/>
                <w:sz w:val="14"/>
              </w:rPr>
            </w:r>
          </w:p>
        </w:tc>
        <w:tc>
          <w:tcPr>
            <w:tcW w:type="dxa" w:w="4320"/>
          </w:tcPr>
          <w:p>
            <w:pPr>
              <w:keepNext/>
            </w:pPr>
            <w:r/>
            <w:r>
              <w:rPr>
                <w:rFonts w:ascii="Calibri" w:hAnsi="Calibri"/>
                <w:b w:val="0"/>
                <w:i w:val="0"/>
                <w:color w:val="000000"/>
                <w:sz w:val="22"/>
              </w:rPr>
              <w:t>Барање за полициско придружување и известување за транспорт до МВР</w:t>
            </w:r>
            <w:r>
              <w:rPr>
                <w:rFonts w:ascii="Calibri" w:hAnsi="Calibri"/>
                <w:b w:val="0"/>
                <w:i w:val="0"/>
                <w:color w:val="000000"/>
                <w:sz w:val="14"/>
              </w:rPr>
              <w:t xml:space="preserve"> | </w:t>
            </w:r>
            <w:r>
              <w:rPr>
                <w:rFonts w:ascii="Calibri" w:hAnsi="Calibri"/>
                <w:b w:val="0"/>
                <w:i w:val="0"/>
                <w:color w:val="000000"/>
                <w:sz w:val="14"/>
              </w:rPr>
              <w:t>Request for Police Escort and Notification of Transport to the MoIA</w:t>
            </w:r>
          </w:p>
        </w:tc>
        <w:tc>
          <w:tcPr>
            <w:tcW w:type="dxa" w:w="4320"/>
          </w:tcPr>
          <w:p>
            <w:pPr>
              <w:keepNext/>
            </w:pPr>
            <w:r/>
            <w:r>
              <w:rPr>
                <w:rFonts w:ascii="Calibri" w:hAnsi="Calibri"/>
                <w:b w:val="0"/>
                <w:i w:val="0"/>
                <w:color w:val="000000"/>
                <w:sz w:val="22"/>
              </w:rPr>
              <w:t>Обезбедување</w:t>
            </w:r>
            <w:r>
              <w:rPr>
                <w:rFonts w:ascii="Calibri" w:hAnsi="Calibri"/>
                <w:b w:val="0"/>
                <w:i w:val="0"/>
                <w:color w:val="000000"/>
                <w:sz w:val="14"/>
              </w:rPr>
              <w:t xml:space="preserve"> | </w:t>
            </w:r>
            <w:r>
              <w:rPr>
                <w:rFonts w:ascii="Calibri" w:hAnsi="Calibri"/>
                <w:b w:val="0"/>
                <w:i w:val="0"/>
                <w:color w:val="000000"/>
                <w:sz w:val="14"/>
              </w:rPr>
              <w:t>Security</w:t>
            </w:r>
          </w:p>
        </w:tc>
      </w:tr>
      <w:tr>
        <w:trPr>
          <w:cantSplit/>
        </w:trPr>
        <w:tc>
          <w:tcPr>
            <w:tcW w:type="dxa" w:w="1826"/>
          </w:tcPr>
          <w:p>
            <w:pPr>
              <w:keepNext/>
            </w:pPr>
            <w:r/>
            <w:r>
              <w:rPr>
                <w:rFonts w:ascii="Calibri" w:hAnsi="Calibri"/>
                <w:b w:val="0"/>
                <w:i w:val="0"/>
                <w:color w:val="000000"/>
                <w:sz w:val="22"/>
              </w:rPr>
              <w:t>WHSOP_003_A03</w:t>
            </w:r>
            <w:r>
              <w:rPr>
                <w:rFonts w:ascii="Calibri" w:hAnsi="Calibri"/>
                <w:b w:val="0"/>
                <w:i w:val="0"/>
                <w:color w:val="000000"/>
                <w:sz w:val="14"/>
              </w:rPr>
            </w:r>
          </w:p>
        </w:tc>
        <w:tc>
          <w:tcPr>
            <w:tcW w:type="dxa" w:w="4320"/>
          </w:tcPr>
          <w:p>
            <w:pPr>
              <w:keepNext/>
            </w:pPr>
            <w:r/>
            <w:r>
              <w:rPr>
                <w:rFonts w:ascii="Calibri" w:hAnsi="Calibri"/>
                <w:b w:val="0"/>
                <w:i w:val="0"/>
                <w:color w:val="000000"/>
                <w:sz w:val="22"/>
              </w:rPr>
              <w:t>Етикети и листи на пакување за палети и картони</w:t>
            </w:r>
            <w:r>
              <w:rPr>
                <w:rFonts w:ascii="Calibri" w:hAnsi="Calibri"/>
                <w:b w:val="0"/>
                <w:i w:val="0"/>
                <w:color w:val="000000"/>
                <w:sz w:val="14"/>
              </w:rPr>
              <w:t xml:space="preserve"> | </w:t>
            </w:r>
            <w:r>
              <w:rPr>
                <w:rFonts w:ascii="Calibri" w:hAnsi="Calibri"/>
                <w:b w:val="0"/>
                <w:i w:val="0"/>
                <w:color w:val="000000"/>
                <w:sz w:val="14"/>
              </w:rPr>
              <w:t>Pallet and Carton Labels and Packing Lists</w:t>
            </w:r>
          </w:p>
        </w:tc>
        <w:tc>
          <w:tcPr>
            <w:tcW w:type="dxa" w:w="4320"/>
          </w:tcPr>
          <w:p>
            <w:pPr>
              <w:keepNext/>
            </w:pPr>
            <w:r/>
            <w:r>
              <w:rPr>
                <w:rFonts w:ascii="Calibri" w:hAnsi="Calibri"/>
                <w:b w:val="0"/>
                <w:i w:val="0"/>
                <w:color w:val="000000"/>
                <w:sz w:val="22"/>
              </w:rPr>
              <w:t>Логистика</w:t>
            </w:r>
            <w:r>
              <w:rPr>
                <w:rFonts w:ascii="Calibri" w:hAnsi="Calibri"/>
                <w:b w:val="0"/>
                <w:i w:val="0"/>
                <w:color w:val="000000"/>
                <w:sz w:val="14"/>
              </w:rPr>
              <w:t xml:space="preserve"> | </w:t>
            </w:r>
            <w:r>
              <w:rPr>
                <w:rFonts w:ascii="Calibri" w:hAnsi="Calibri"/>
                <w:b w:val="0"/>
                <w:i w:val="0"/>
                <w:color w:val="000000"/>
                <w:sz w:val="14"/>
              </w:rPr>
              <w:t>Logistics</w:t>
            </w:r>
          </w:p>
        </w:tc>
      </w:tr>
      <w:tr>
        <w:trPr>
          <w:cantSplit/>
        </w:trPr>
        <w:tc>
          <w:tcPr>
            <w:tcW w:type="dxa" w:w="1826"/>
          </w:tcPr>
          <w:p>
            <w:pPr>
              <w:keepNext/>
            </w:pPr>
            <w:r/>
            <w:r>
              <w:rPr>
                <w:rFonts w:ascii="Calibri" w:hAnsi="Calibri"/>
                <w:b w:val="0"/>
                <w:i w:val="0"/>
                <w:color w:val="000000"/>
                <w:sz w:val="22"/>
              </w:rPr>
              <w:t>WHSOP_003_A04</w:t>
            </w:r>
            <w:r>
              <w:rPr>
                <w:rFonts w:ascii="Calibri" w:hAnsi="Calibri"/>
                <w:b w:val="0"/>
                <w:i w:val="0"/>
                <w:color w:val="000000"/>
                <w:sz w:val="14"/>
              </w:rPr>
            </w:r>
          </w:p>
        </w:tc>
        <w:tc>
          <w:tcPr>
            <w:tcW w:type="dxa" w:w="4320"/>
          </w:tcPr>
          <w:p>
            <w:pPr>
              <w:keepNext/>
            </w:pPr>
            <w:r/>
            <w:r>
              <w:rPr>
                <w:rFonts w:ascii="Calibri" w:hAnsi="Calibri"/>
                <w:b w:val="0"/>
                <w:i w:val="0"/>
                <w:color w:val="000000"/>
                <w:sz w:val="22"/>
              </w:rPr>
              <w:t>Транспортен манифест и ланец на надзор</w:t>
            </w:r>
            <w:r>
              <w:rPr>
                <w:rFonts w:ascii="Calibri" w:hAnsi="Calibri"/>
                <w:b w:val="0"/>
                <w:i w:val="0"/>
                <w:color w:val="000000"/>
                <w:sz w:val="14"/>
              </w:rPr>
              <w:t xml:space="preserve"> | </w:t>
            </w:r>
            <w:r>
              <w:rPr>
                <w:rFonts w:ascii="Calibri" w:hAnsi="Calibri"/>
                <w:b w:val="0"/>
                <w:i w:val="0"/>
                <w:color w:val="000000"/>
                <w:sz w:val="14"/>
              </w:rPr>
              <w:t>Transport Manifest and Chain of Custody</w:t>
            </w:r>
          </w:p>
        </w:tc>
        <w:tc>
          <w:tcPr>
            <w:tcW w:type="dxa" w:w="4320"/>
          </w:tcPr>
          <w:p>
            <w:pPr>
              <w:keepNext/>
            </w:pPr>
            <w:r/>
            <w:r>
              <w:rPr>
                <w:rFonts w:ascii="Calibri" w:hAnsi="Calibri"/>
                <w:b w:val="0"/>
                <w:i w:val="0"/>
                <w:color w:val="000000"/>
                <w:sz w:val="22"/>
              </w:rPr>
              <w:t>Логистика, возач, примач</w:t>
            </w:r>
            <w:r>
              <w:rPr>
                <w:rFonts w:ascii="Calibri" w:hAnsi="Calibri"/>
                <w:b w:val="0"/>
                <w:i w:val="0"/>
                <w:color w:val="000000"/>
                <w:sz w:val="14"/>
              </w:rPr>
              <w:t xml:space="preserve"> | </w:t>
            </w:r>
            <w:r>
              <w:rPr>
                <w:rFonts w:ascii="Calibri" w:hAnsi="Calibri"/>
                <w:b w:val="0"/>
                <w:i w:val="0"/>
                <w:color w:val="000000"/>
                <w:sz w:val="14"/>
              </w:rPr>
              <w:t>Logistics, driver, consignee</w:t>
            </w:r>
          </w:p>
        </w:tc>
      </w:tr>
      <w:tr>
        <w:trPr>
          <w:cantSplit/>
        </w:trPr>
        <w:tc>
          <w:tcPr>
            <w:tcW w:type="dxa" w:w="1826"/>
          </w:tcPr>
          <w:p>
            <w:pPr>
              <w:keepNext/>
            </w:pPr>
            <w:r/>
            <w:r>
              <w:rPr>
                <w:rFonts w:ascii="Calibri" w:hAnsi="Calibri"/>
                <w:b w:val="0"/>
                <w:i w:val="0"/>
                <w:color w:val="000000"/>
                <w:sz w:val="22"/>
              </w:rPr>
              <w:t>WHSOP_003_A05</w:t>
            </w:r>
            <w:r>
              <w:rPr>
                <w:rFonts w:ascii="Calibri" w:hAnsi="Calibri"/>
                <w:b w:val="0"/>
                <w:i w:val="0"/>
                <w:color w:val="000000"/>
                <w:sz w:val="14"/>
              </w:rPr>
            </w:r>
          </w:p>
        </w:tc>
        <w:tc>
          <w:tcPr>
            <w:tcW w:type="dxa" w:w="4320"/>
          </w:tcPr>
          <w:p>
            <w:pPr>
              <w:keepNext/>
            </w:pPr>
            <w:r/>
            <w:r>
              <w:rPr>
                <w:rFonts w:ascii="Calibri" w:hAnsi="Calibri"/>
                <w:b w:val="0"/>
                <w:i w:val="0"/>
                <w:color w:val="000000"/>
                <w:sz w:val="22"/>
              </w:rPr>
              <w:t>Чек-листа пред отпрема и при прием</w:t>
            </w:r>
            <w:r>
              <w:rPr>
                <w:rFonts w:ascii="Calibri" w:hAnsi="Calibri"/>
                <w:b w:val="0"/>
                <w:i w:val="0"/>
                <w:color w:val="000000"/>
                <w:sz w:val="14"/>
              </w:rPr>
              <w:t xml:space="preserve"> | </w:t>
            </w:r>
            <w:r>
              <w:rPr>
                <w:rFonts w:ascii="Calibri" w:hAnsi="Calibri"/>
                <w:b w:val="0"/>
                <w:i w:val="0"/>
                <w:color w:val="000000"/>
                <w:sz w:val="14"/>
              </w:rPr>
              <w:t>Pre-dispatch and Receipt Checklist</w:t>
            </w:r>
          </w:p>
        </w:tc>
        <w:tc>
          <w:tcPr>
            <w:tcW w:type="dxa" w:w="4320"/>
          </w:tcPr>
          <w:p>
            <w:pPr>
              <w:keepNext/>
            </w:pPr>
            <w:r/>
            <w:r>
              <w:rPr>
                <w:rFonts w:ascii="Calibri" w:hAnsi="Calibri"/>
                <w:b w:val="0"/>
                <w:i w:val="0"/>
                <w:color w:val="000000"/>
                <w:sz w:val="22"/>
              </w:rPr>
              <w:t>Обезбедување, Логистика, примач</w:t>
            </w:r>
            <w:r>
              <w:rPr>
                <w:rFonts w:ascii="Calibri" w:hAnsi="Calibri"/>
                <w:b w:val="0"/>
                <w:i w:val="0"/>
                <w:color w:val="000000"/>
                <w:sz w:val="14"/>
              </w:rPr>
              <w:t xml:space="preserve"> | </w:t>
            </w:r>
            <w:r>
              <w:rPr>
                <w:rFonts w:ascii="Calibri" w:hAnsi="Calibri"/>
                <w:b w:val="0"/>
                <w:i w:val="0"/>
                <w:color w:val="000000"/>
                <w:sz w:val="14"/>
              </w:rPr>
              <w:t>Security, Logistics, consignee</w:t>
            </w:r>
          </w:p>
        </w:tc>
      </w:tr>
      <w:tr>
        <w:trPr>
          <w:cantSplit/>
        </w:trPr>
        <w:tc>
          <w:tcPr>
            <w:tcW w:type="dxa" w:w="1826"/>
          </w:tcPr>
          <w:p>
            <w:pPr>
              <w:keepNext/>
            </w:pPr>
            <w:r/>
            <w:r>
              <w:rPr>
                <w:rFonts w:ascii="Calibri" w:hAnsi="Calibri"/>
                <w:b w:val="0"/>
                <w:i w:val="0"/>
                <w:color w:val="000000"/>
                <w:sz w:val="22"/>
              </w:rPr>
              <w:t>WHSOP_003_A06</w:t>
            </w:r>
            <w:r>
              <w:rPr>
                <w:rFonts w:ascii="Calibri" w:hAnsi="Calibri"/>
                <w:b w:val="0"/>
                <w:i w:val="0"/>
                <w:color w:val="000000"/>
                <w:sz w:val="14"/>
              </w:rPr>
            </w:r>
          </w:p>
        </w:tc>
        <w:tc>
          <w:tcPr>
            <w:tcW w:type="dxa" w:w="4320"/>
          </w:tcPr>
          <w:p>
            <w:pPr>
              <w:keepNext/>
            </w:pPr>
            <w:r/>
            <w:r>
              <w:rPr>
                <w:rFonts w:ascii="Calibri" w:hAnsi="Calibri"/>
                <w:b w:val="0"/>
                <w:i w:val="0"/>
                <w:color w:val="000000"/>
                <w:sz w:val="22"/>
              </w:rPr>
              <w:t>Известување по транспортот до Министерството за здравство</w:t>
            </w:r>
            <w:r>
              <w:rPr>
                <w:rFonts w:ascii="Calibri" w:hAnsi="Calibri"/>
                <w:b w:val="0"/>
                <w:i w:val="0"/>
                <w:color w:val="000000"/>
                <w:sz w:val="14"/>
              </w:rPr>
              <w:t xml:space="preserve"> | </w:t>
            </w:r>
            <w:r>
              <w:rPr>
                <w:rFonts w:ascii="Calibri" w:hAnsi="Calibri"/>
                <w:b w:val="0"/>
                <w:i w:val="0"/>
                <w:color w:val="000000"/>
                <w:sz w:val="14"/>
              </w:rPr>
              <w:t>Post-transport Notification to the Ministry of Health</w:t>
            </w:r>
          </w:p>
        </w:tc>
        <w:tc>
          <w:tcPr>
            <w:tcW w:type="dxa" w:w="4320"/>
          </w:tcPr>
          <w:p>
            <w:pPr>
              <w:keepNext/>
            </w:pPr>
            <w:r/>
            <w:r>
              <w:rPr>
                <w:rFonts w:ascii="Calibri" w:hAnsi="Calibri"/>
                <w:b w:val="0"/>
                <w:i w:val="0"/>
                <w:color w:val="000000"/>
                <w:sz w:val="22"/>
              </w:rPr>
              <w:t>Обезбедување, QP</w:t>
            </w:r>
            <w:r>
              <w:rPr>
                <w:rFonts w:ascii="Calibri" w:hAnsi="Calibri"/>
                <w:b w:val="0"/>
                <w:i w:val="0"/>
                <w:color w:val="000000"/>
                <w:sz w:val="14"/>
              </w:rPr>
              <w:t xml:space="preserve"> | </w:t>
            </w:r>
            <w:r>
              <w:rPr>
                <w:rFonts w:ascii="Calibri" w:hAnsi="Calibri"/>
                <w:b w:val="0"/>
                <w:i w:val="0"/>
                <w:color w:val="000000"/>
                <w:sz w:val="14"/>
              </w:rPr>
              <w:t>Security, QP</w:t>
            </w:r>
          </w:p>
        </w:tc>
      </w:tr>
      <w:tr>
        <w:trPr>
          <w:cantSplit/>
        </w:trPr>
        <w:tc>
          <w:tcPr>
            <w:tcW w:type="dxa" w:w="1826"/>
          </w:tcPr>
          <w:p>
            <w:r/>
            <w:r>
              <w:rPr>
                <w:rFonts w:ascii="Calibri" w:hAnsi="Calibri"/>
                <w:b w:val="0"/>
                <w:i w:val="0"/>
                <w:color w:val="000000"/>
                <w:sz w:val="22"/>
              </w:rPr>
              <w:t>WHSOP_003_A07</w:t>
            </w:r>
            <w:r>
              <w:rPr>
                <w:rFonts w:ascii="Calibri" w:hAnsi="Calibri"/>
                <w:b w:val="0"/>
                <w:i w:val="0"/>
                <w:color w:val="000000"/>
                <w:sz w:val="14"/>
              </w:rPr>
            </w:r>
          </w:p>
        </w:tc>
        <w:tc>
          <w:tcPr>
            <w:tcW w:type="dxa" w:w="4320"/>
          </w:tcPr>
          <w:p>
            <w:r/>
            <w:r>
              <w:rPr>
                <w:rFonts w:ascii="Calibri" w:hAnsi="Calibri"/>
                <w:b w:val="0"/>
                <w:i w:val="0"/>
                <w:color w:val="000000"/>
                <w:sz w:val="22"/>
              </w:rPr>
              <w:t>Преглед на транспортното досие и диспозиција</w:t>
            </w:r>
            <w:r>
              <w:rPr>
                <w:rFonts w:ascii="Calibri" w:hAnsi="Calibri"/>
                <w:b w:val="0"/>
                <w:i w:val="0"/>
                <w:color w:val="000000"/>
                <w:sz w:val="14"/>
              </w:rPr>
              <w:t xml:space="preserve"> | </w:t>
            </w:r>
            <w:r>
              <w:rPr>
                <w:rFonts w:ascii="Calibri" w:hAnsi="Calibri"/>
                <w:b w:val="0"/>
                <w:i w:val="0"/>
                <w:color w:val="000000"/>
                <w:sz w:val="14"/>
              </w:rPr>
              <w:t>Transport File Review and Disposition</w:t>
            </w:r>
          </w:p>
        </w:tc>
        <w:tc>
          <w:tcPr>
            <w:tcW w:type="dxa" w:w="4320"/>
          </w:tcPr>
          <w:p>
            <w:r/>
            <w:r>
              <w:rPr>
                <w:rFonts w:ascii="Calibri" w:hAnsi="Calibri"/>
                <w:b w:val="0"/>
                <w:i w:val="0"/>
                <w:color w:val="000000"/>
                <w:sz w:val="22"/>
              </w:rPr>
              <w:t>QA</w:t>
            </w:r>
            <w:r>
              <w:rPr>
                <w:rFonts w:ascii="Calibri" w:hAnsi="Calibri"/>
                <w:b w:val="0"/>
                <w:i w:val="0"/>
                <w:color w:val="000000"/>
                <w:sz w:val="14"/>
              </w:rPr>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8.0 ПОВРЗАНИ ДОКУМЕНТИ</w:t>
      </w:r>
      <w:r>
        <w:rPr>
          <w:rFonts w:ascii="Calibri" w:hAnsi="Calibri"/>
          <w:b w:val="0"/>
          <w:i w:val="0"/>
          <w:color w:val="000000"/>
          <w:sz w:val="24"/>
        </w:rPr>
        <w:tab/>
      </w:r>
      <w:r>
        <w:rPr>
          <w:rFonts w:ascii="Calibri" w:hAnsi="Calibri"/>
          <w:b/>
          <w:i w:val="0"/>
          <w:color w:val="595959"/>
          <w:sz w:val="24"/>
        </w:rPr>
        <w:t>8.0 RELATED DOCUMENTS</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4301"/>
        <w:gridCol w:w="6165"/>
      </w:tblGrid>
      <w:tr>
        <w:trPr>
          <w:cantSplit/>
          <w:tblHeader w:val="true"/>
        </w:trPr>
        <w:tc>
          <w:tcPr>
            <w:shd w:val="clear" w:color="auto" w:fill="D9E2F3"/>
            <w:tcW w:type="dxa" w:w="4301"/>
          </w:tcPr>
          <w:p>
            <w:pPr>
              <w:keepNext/>
            </w:pPr>
            <w:r/>
            <w:r>
              <w:rPr>
                <w:rFonts w:ascii="Calibri" w:hAnsi="Calibri"/>
                <w:b/>
                <w:i w:val="0"/>
                <w:color w:val="000000"/>
                <w:sz w:val="22"/>
              </w:rPr>
              <w:t>Код</w:t>
            </w:r>
            <w:r>
              <w:rPr>
                <w:rFonts w:ascii="Calibri" w:hAnsi="Calibri"/>
                <w:b w:val="0"/>
                <w:i w:val="0"/>
                <w:color w:val="000000"/>
                <w:sz w:val="14"/>
              </w:rPr>
              <w:t xml:space="preserve"> | </w:t>
            </w:r>
            <w:r>
              <w:rPr>
                <w:rFonts w:ascii="Calibri" w:hAnsi="Calibri"/>
                <w:b/>
                <w:i w:val="0"/>
                <w:color w:val="000000"/>
                <w:sz w:val="14"/>
              </w:rPr>
              <w:t>Code</w:t>
            </w:r>
          </w:p>
        </w:tc>
        <w:tc>
          <w:tcPr>
            <w:shd w:val="clear" w:color="auto" w:fill="D9E2F3"/>
            <w:tcW w:type="dxa" w:w="6165"/>
          </w:tcPr>
          <w:p>
            <w:pPr>
              <w:keepNext/>
            </w:pPr>
            <w:r/>
            <w:r>
              <w:rPr>
                <w:rFonts w:ascii="Calibri" w:hAnsi="Calibri"/>
                <w:b/>
                <w:i w:val="0"/>
                <w:color w:val="000000"/>
                <w:sz w:val="22"/>
              </w:rPr>
              <w:t>Наслов</w:t>
            </w:r>
            <w:r>
              <w:rPr>
                <w:rFonts w:ascii="Calibri" w:hAnsi="Calibri"/>
                <w:b w:val="0"/>
                <w:i w:val="0"/>
                <w:color w:val="000000"/>
                <w:sz w:val="14"/>
              </w:rPr>
              <w:t xml:space="preserve"> | </w:t>
            </w:r>
            <w:r>
              <w:rPr>
                <w:rFonts w:ascii="Calibri" w:hAnsi="Calibri"/>
                <w:b/>
                <w:i w:val="0"/>
                <w:color w:val="000000"/>
                <w:sz w:val="14"/>
              </w:rPr>
              <w:t>Title</w:t>
            </w:r>
          </w:p>
        </w:tc>
      </w:tr>
      <w:tr>
        <w:trPr>
          <w:cantSplit/>
        </w:trPr>
        <w:tc>
          <w:tcPr>
            <w:tcW w:type="dxa" w:w="4301"/>
          </w:tcPr>
          <w:p>
            <w:pPr>
              <w:keepNext/>
            </w:pPr>
            <w:r/>
            <w:r>
              <w:rPr>
                <w:rFonts w:ascii="Calibri" w:hAnsi="Calibri"/>
                <w:b w:val="0"/>
                <w:i w:val="0"/>
                <w:color w:val="000000"/>
                <w:sz w:val="22"/>
              </w:rPr>
              <w:t>QASOP_0XX</w:t>
            </w:r>
            <w:r>
              <w:rPr>
                <w:rFonts w:ascii="Calibri" w:hAnsi="Calibri"/>
                <w:b w:val="0"/>
                <w:i w:val="0"/>
                <w:color w:val="000000"/>
                <w:sz w:val="14"/>
              </w:rPr>
            </w:r>
          </w:p>
        </w:tc>
        <w:tc>
          <w:tcPr>
            <w:tcW w:type="dxa" w:w="6165"/>
          </w:tcPr>
          <w:p>
            <w:pPr>
              <w:keepNext/>
            </w:pPr>
            <w:r/>
            <w:r>
              <w:rPr>
                <w:rFonts w:ascii="Calibri" w:hAnsi="Calibri"/>
                <w:b w:val="0"/>
                <w:i w:val="0"/>
                <w:color w:val="000000"/>
                <w:sz w:val="22"/>
              </w:rPr>
              <w:t>Валидација на транспорт — квалификација на рути (OQ/PQ)</w:t>
            </w:r>
            <w:r>
              <w:rPr>
                <w:rFonts w:ascii="Calibri" w:hAnsi="Calibri"/>
                <w:b w:val="0"/>
                <w:i w:val="0"/>
                <w:color w:val="000000"/>
                <w:sz w:val="14"/>
              </w:rPr>
              <w:t xml:space="preserve"> | </w:t>
            </w:r>
            <w:r>
              <w:rPr>
                <w:rFonts w:ascii="Calibri" w:hAnsi="Calibri"/>
                <w:b w:val="0"/>
                <w:i w:val="0"/>
                <w:color w:val="000000"/>
                <w:sz w:val="14"/>
              </w:rPr>
              <w:t>Transport Validation — Lane Qualification (OQ/PQ)</w:t>
            </w:r>
          </w:p>
        </w:tc>
      </w:tr>
      <w:tr>
        <w:trPr>
          <w:cantSplit/>
        </w:trPr>
        <w:tc>
          <w:tcPr>
            <w:tcW w:type="dxa" w:w="4301"/>
          </w:tcPr>
          <w:p>
            <w:pPr>
              <w:keepNext/>
            </w:pPr>
            <w:r/>
            <w:r>
              <w:rPr>
                <w:rFonts w:ascii="Calibri" w:hAnsi="Calibri"/>
                <w:b w:val="0"/>
                <w:i w:val="0"/>
                <w:color w:val="000000"/>
                <w:sz w:val="22"/>
              </w:rPr>
              <w:t>WHSOP_002</w:t>
            </w:r>
            <w:r>
              <w:rPr>
                <w:rFonts w:ascii="Calibri" w:hAnsi="Calibri"/>
                <w:b w:val="0"/>
                <w:i w:val="0"/>
                <w:color w:val="000000"/>
                <w:sz w:val="14"/>
              </w:rPr>
            </w:r>
          </w:p>
        </w:tc>
        <w:tc>
          <w:tcPr>
            <w:tcW w:type="dxa" w:w="6165"/>
          </w:tcPr>
          <w:p>
            <w:pPr>
              <w:keepNext/>
            </w:pPr>
            <w:r/>
            <w:r>
              <w:rPr>
                <w:rFonts w:ascii="Calibri" w:hAnsi="Calibri"/>
                <w:b w:val="0"/>
                <w:i w:val="0"/>
                <w:color w:val="000000"/>
                <w:sz w:val="22"/>
              </w:rPr>
              <w:t>Транспорт, увоз, извоз и дистрибуција на медицински канабис</w:t>
            </w:r>
            <w:r>
              <w:rPr>
                <w:rFonts w:ascii="Calibri" w:hAnsi="Calibri"/>
                <w:b w:val="0"/>
                <w:i w:val="0"/>
                <w:color w:val="000000"/>
                <w:sz w:val="14"/>
              </w:rPr>
              <w:t xml:space="preserve"> | </w:t>
            </w:r>
            <w:r>
              <w:rPr>
                <w:rFonts w:ascii="Calibri" w:hAnsi="Calibri"/>
                <w:b w:val="0"/>
                <w:i w:val="0"/>
                <w:color w:val="000000"/>
                <w:sz w:val="14"/>
              </w:rPr>
              <w:t>Transport, Import, Export and Distribution of Medical Cannabis</w:t>
            </w:r>
          </w:p>
        </w:tc>
      </w:tr>
      <w:tr>
        <w:trPr>
          <w:cantSplit/>
        </w:trPr>
        <w:tc>
          <w:tcPr>
            <w:tcW w:type="dxa" w:w="4301"/>
          </w:tcPr>
          <w:p>
            <w:r/>
            <w:r>
              <w:rPr>
                <w:rFonts w:ascii="Calibri" w:hAnsi="Calibri"/>
                <w:b w:val="0"/>
                <w:i w:val="0"/>
                <w:color w:val="000000"/>
                <w:sz w:val="22"/>
              </w:rPr>
              <w:t>WHSOP 001</w:t>
            </w:r>
            <w:r>
              <w:rPr>
                <w:rFonts w:ascii="Calibri" w:hAnsi="Calibri"/>
                <w:b w:val="0"/>
                <w:i w:val="0"/>
                <w:color w:val="000000"/>
                <w:sz w:val="14"/>
              </w:rPr>
            </w:r>
          </w:p>
        </w:tc>
        <w:tc>
          <w:tcPr>
            <w:tcW w:type="dxa" w:w="6165"/>
          </w:tcPr>
          <w:p>
            <w:r/>
            <w:r>
              <w:rPr>
                <w:rFonts w:ascii="Calibri" w:hAnsi="Calibri"/>
                <w:b w:val="0"/>
                <w:i w:val="0"/>
                <w:color w:val="000000"/>
                <w:sz w:val="22"/>
              </w:rPr>
              <w:t>Прием, складирање, евиденција и издавање</w:t>
            </w:r>
            <w:r>
              <w:rPr>
                <w:rFonts w:ascii="Calibri" w:hAnsi="Calibri"/>
                <w:b w:val="0"/>
                <w:i w:val="0"/>
                <w:color w:val="000000"/>
                <w:sz w:val="14"/>
              </w:rPr>
              <w:t xml:space="preserve"> | </w:t>
            </w:r>
            <w:r>
              <w:rPr>
                <w:rFonts w:ascii="Calibri" w:hAnsi="Calibri"/>
                <w:b w:val="0"/>
                <w:i w:val="0"/>
                <w:color w:val="000000"/>
                <w:sz w:val="14"/>
              </w:rPr>
              <w:t>Reception, storage, record and issuing</w:t>
            </w:r>
          </w:p>
        </w:tc>
      </w:tr>
      <w:tr>
        <w:trPr>
          <w:cantSplit/>
        </w:trPr>
        <w:tc>
          <w:tcPr>
            <w:tcW w:type="dxa" w:w="4301"/>
          </w:tcPr>
          <w:p>
            <w:r/>
            <w:r>
              <w:rPr>
                <w:rFonts w:ascii="Calibri" w:hAnsi="Calibri"/>
                <w:b w:val="0"/>
                <w:i w:val="0"/>
                <w:color w:val="000000"/>
                <w:sz w:val="22"/>
              </w:rPr>
              <w:t>PP-QC-SOP-025</w:t>
            </w:r>
            <w:r>
              <w:rPr>
                <w:rFonts w:ascii="Calibri" w:hAnsi="Calibri"/>
                <w:b w:val="0"/>
                <w:i w:val="0"/>
                <w:color w:val="000000"/>
                <w:sz w:val="14"/>
              </w:rPr>
            </w:r>
          </w:p>
        </w:tc>
        <w:tc>
          <w:tcPr>
            <w:tcW w:type="dxa" w:w="6165"/>
          </w:tcPr>
          <w:p>
            <w:r/>
            <w:r>
              <w:rPr>
                <w:rFonts w:ascii="Calibri" w:hAnsi="Calibri"/>
                <w:b w:val="0"/>
                <w:i w:val="0"/>
                <w:color w:val="000000"/>
                <w:sz w:val="22"/>
              </w:rPr>
              <w:t>Транспорт на мостри до надворешна лабораторија за контрола на квалитет</w:t>
            </w:r>
            <w:r>
              <w:rPr>
                <w:rFonts w:ascii="Calibri" w:hAnsi="Calibri"/>
                <w:b w:val="0"/>
                <w:i w:val="0"/>
                <w:color w:val="000000"/>
                <w:sz w:val="14"/>
              </w:rPr>
              <w:t xml:space="preserve"> | </w:t>
            </w:r>
            <w:r>
              <w:rPr>
                <w:rFonts w:ascii="Calibri" w:hAnsi="Calibri"/>
                <w:b w:val="0"/>
                <w:i w:val="0"/>
                <w:color w:val="000000"/>
                <w:sz w:val="14"/>
              </w:rPr>
              <w:t>Transport of Samples to an Outsourced Quality-Control Laboratory</w:t>
            </w:r>
          </w:p>
        </w:tc>
      </w:tr>
      <w:tr>
        <w:trPr>
          <w:cantSplit/>
        </w:trPr>
        <w:tc>
          <w:tcPr>
            <w:tcW w:type="dxa" w:w="4301"/>
          </w:tcPr>
          <w:p>
            <w:r/>
            <w:r>
              <w:rPr>
                <w:rFonts w:ascii="Calibri" w:hAnsi="Calibri"/>
                <w:b w:val="0"/>
                <w:i w:val="0"/>
                <w:color w:val="000000"/>
                <w:sz w:val="22"/>
              </w:rPr>
              <w:t>QAS-05-001 / QAS-05-002</w:t>
            </w:r>
            <w:r>
              <w:rPr>
                <w:rFonts w:ascii="Calibri" w:hAnsi="Calibri"/>
                <w:b w:val="0"/>
                <w:i w:val="0"/>
                <w:color w:val="000000"/>
                <w:sz w:val="14"/>
              </w:rPr>
            </w:r>
          </w:p>
        </w:tc>
        <w:tc>
          <w:tcPr>
            <w:tcW w:type="dxa" w:w="6165"/>
          </w:tcPr>
          <w:p>
            <w:r/>
            <w:r>
              <w:rPr>
                <w:rFonts w:ascii="Calibri" w:hAnsi="Calibri"/>
                <w:b w:val="0"/>
                <w:i w:val="0"/>
                <w:color w:val="000000"/>
                <w:sz w:val="22"/>
              </w:rPr>
              <w:t>CAPA; Отстапувања</w:t>
            </w:r>
            <w:r>
              <w:rPr>
                <w:rFonts w:ascii="Calibri" w:hAnsi="Calibri"/>
                <w:b w:val="0"/>
                <w:i w:val="0"/>
                <w:color w:val="000000"/>
                <w:sz w:val="14"/>
              </w:rPr>
              <w:t xml:space="preserve"> | </w:t>
            </w:r>
            <w:r>
              <w:rPr>
                <w:rFonts w:ascii="Calibri" w:hAnsi="Calibri"/>
                <w:b w:val="0"/>
                <w:i w:val="0"/>
                <w:color w:val="000000"/>
                <w:sz w:val="14"/>
              </w:rPr>
              <w:t>CAPA; Deviations</w:t>
            </w:r>
          </w:p>
        </w:tc>
      </w:tr>
      <w:tr>
        <w:trPr>
          <w:cantSplit/>
        </w:trPr>
        <w:tc>
          <w:tcPr>
            <w:tcW w:type="dxa" w:w="4301"/>
          </w:tcPr>
          <w:p>
            <w:r/>
            <w:r>
              <w:rPr>
                <w:rFonts w:ascii="Calibri" w:hAnsi="Calibri"/>
                <w:b w:val="0"/>
                <w:i w:val="0"/>
                <w:color w:val="000000"/>
                <w:sz w:val="22"/>
              </w:rPr>
              <w:t>QAS-08-001</w:t>
            </w:r>
            <w:r>
              <w:rPr>
                <w:rFonts w:ascii="Calibri" w:hAnsi="Calibri"/>
                <w:b w:val="0"/>
                <w:i w:val="0"/>
                <w:color w:val="000000"/>
                <w:sz w:val="14"/>
              </w:rPr>
            </w:r>
          </w:p>
        </w:tc>
        <w:tc>
          <w:tcPr>
            <w:tcW w:type="dxa" w:w="6165"/>
          </w:tcPr>
          <w:p>
            <w:r/>
            <w:r>
              <w:rPr>
                <w:rFonts w:ascii="Calibri" w:hAnsi="Calibri"/>
                <w:b w:val="0"/>
                <w:i w:val="0"/>
                <w:color w:val="000000"/>
                <w:sz w:val="22"/>
              </w:rPr>
              <w:t>Контрола на промени</w:t>
            </w:r>
            <w:r>
              <w:rPr>
                <w:rFonts w:ascii="Calibri" w:hAnsi="Calibri"/>
                <w:b w:val="0"/>
                <w:i w:val="0"/>
                <w:color w:val="000000"/>
                <w:sz w:val="14"/>
              </w:rPr>
              <w:t xml:space="preserve"> | </w:t>
            </w:r>
            <w:r>
              <w:rPr>
                <w:rFonts w:ascii="Calibri" w:hAnsi="Calibri"/>
                <w:b w:val="0"/>
                <w:i w:val="0"/>
                <w:color w:val="000000"/>
                <w:sz w:val="14"/>
              </w:rPr>
              <w:t>Change control</w:t>
            </w:r>
          </w:p>
        </w:tc>
      </w:tr>
      <w:tr>
        <w:trPr>
          <w:cantSplit/>
        </w:trPr>
        <w:tc>
          <w:tcPr>
            <w:tcW w:type="dxa" w:w="4301"/>
          </w:tcPr>
          <w:p>
            <w:r/>
            <w:r>
              <w:rPr>
                <w:rFonts w:ascii="Calibri" w:hAnsi="Calibri"/>
                <w:b w:val="0"/>
                <w:i w:val="0"/>
                <w:color w:val="000000"/>
                <w:sz w:val="22"/>
              </w:rPr>
              <w:t>QAS-10-003</w:t>
            </w:r>
            <w:r>
              <w:rPr>
                <w:rFonts w:ascii="Calibri" w:hAnsi="Calibri"/>
                <w:b w:val="0"/>
                <w:i w:val="0"/>
                <w:color w:val="000000"/>
                <w:sz w:val="14"/>
              </w:rPr>
            </w:r>
          </w:p>
        </w:tc>
        <w:tc>
          <w:tcPr>
            <w:tcW w:type="dxa" w:w="6165"/>
          </w:tcPr>
          <w:p>
            <w:r/>
            <w:r>
              <w:rPr>
                <w:rFonts w:ascii="Calibri" w:hAnsi="Calibri"/>
                <w:b w:val="0"/>
                <w:i w:val="0"/>
                <w:color w:val="000000"/>
                <w:sz w:val="22"/>
              </w:rPr>
              <w:t>Квалификација на добавувачи (логери, пакување)</w:t>
            </w:r>
            <w:r>
              <w:rPr>
                <w:rFonts w:ascii="Calibri" w:hAnsi="Calibri"/>
                <w:b w:val="0"/>
                <w:i w:val="0"/>
                <w:color w:val="000000"/>
                <w:sz w:val="14"/>
              </w:rPr>
              <w:t xml:space="preserve"> | </w:t>
            </w:r>
            <w:r>
              <w:rPr>
                <w:rFonts w:ascii="Calibri" w:hAnsi="Calibri"/>
                <w:b w:val="0"/>
                <w:i w:val="0"/>
                <w:color w:val="000000"/>
                <w:sz w:val="14"/>
              </w:rPr>
              <w:t>Vendor qualification (loggers, packaging)</w:t>
            </w:r>
          </w:p>
        </w:tc>
      </w:tr>
      <w:tr>
        <w:trPr>
          <w:cantSplit/>
        </w:trPr>
        <w:tc>
          <w:tcPr>
            <w:tcW w:type="dxa" w:w="4301"/>
          </w:tcPr>
          <w:p>
            <w:r/>
            <w:r>
              <w:rPr>
                <w:rFonts w:ascii="Calibri" w:hAnsi="Calibri"/>
                <w:b w:val="0"/>
                <w:i w:val="0"/>
                <w:color w:val="000000"/>
                <w:sz w:val="22"/>
              </w:rPr>
              <w:t>PRO-05-001</w:t>
            </w:r>
            <w:r>
              <w:rPr>
                <w:rFonts w:ascii="Calibri" w:hAnsi="Calibri"/>
                <w:b w:val="0"/>
                <w:i w:val="0"/>
                <w:color w:val="000000"/>
                <w:sz w:val="14"/>
              </w:rPr>
            </w:r>
          </w:p>
        </w:tc>
        <w:tc>
          <w:tcPr>
            <w:tcW w:type="dxa" w:w="6165"/>
          </w:tcPr>
          <w:p>
            <w:r/>
            <w:r>
              <w:rPr>
                <w:rFonts w:ascii="Calibri" w:hAnsi="Calibri"/>
                <w:b w:val="0"/>
                <w:i w:val="0"/>
                <w:color w:val="000000"/>
                <w:sz w:val="22"/>
              </w:rPr>
              <w:t>Управување со отпад од канабис</w:t>
            </w:r>
            <w:r>
              <w:rPr>
                <w:rFonts w:ascii="Calibri" w:hAnsi="Calibri"/>
                <w:b w:val="0"/>
                <w:i w:val="0"/>
                <w:color w:val="000000"/>
                <w:sz w:val="14"/>
              </w:rPr>
              <w:t xml:space="preserve"> | </w:t>
            </w:r>
            <w:r>
              <w:rPr>
                <w:rFonts w:ascii="Calibri" w:hAnsi="Calibri"/>
                <w:b w:val="0"/>
                <w:i w:val="0"/>
                <w:color w:val="000000"/>
                <w:sz w:val="14"/>
              </w:rPr>
              <w:t>Cannabis waste management</w:t>
            </w:r>
          </w:p>
        </w:tc>
      </w:tr>
    </w:tbl>
    <w:p>
      <w:pPr>
        <w:keepNext w:val="0"/>
        <w:spacing w:before="0" w:after="0" w:lineRule="exact" w:line="200"/>
      </w:pPr>
    </w:p>
    <w:p>
      <w:pPr>
        <w:pStyle w:val="Heading1"/>
        <w:keepNext/>
        <w:tabs>
          <w:tab w:pos="5233" w:val="left"/>
        </w:tabs>
        <w:spacing w:before="60" w:after="60"/>
        <w:ind w:left="130" w:right="130"/>
        <w:shd w:val="clear" w:color="auto" w:fill="E8E8E8"/>
      </w:pPr>
      <w:r>
        <w:rPr>
          <w:rFonts w:ascii="Calibri" w:hAnsi="Calibri"/>
          <w:b/>
          <w:i w:val="0"/>
          <w:color w:val="000000"/>
          <w:sz w:val="24"/>
        </w:rPr>
        <w:t>9.0 РЕВИЗИЈА</w:t>
      </w:r>
      <w:r>
        <w:rPr>
          <w:rFonts w:ascii="Calibri" w:hAnsi="Calibri"/>
          <w:b w:val="0"/>
          <w:i w:val="0"/>
          <w:color w:val="000000"/>
          <w:sz w:val="24"/>
        </w:rPr>
        <w:tab/>
      </w:r>
      <w:r>
        <w:rPr>
          <w:rFonts w:ascii="Calibri" w:hAnsi="Calibri"/>
          <w:b/>
          <w:i w:val="0"/>
          <w:color w:val="595959"/>
          <w:sz w:val="24"/>
        </w:rPr>
        <w:t>9.0 REVISION</w:t>
      </w:r>
    </w:p>
    <w:p>
      <w:pPr>
        <w:keepNext/>
        <w:spacing w:before="0" w:after="0" w:lineRule="exact" w:line="120"/>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10466"/>
        <w:tblInd w:type="dxa" w:w="0"/>
        <w:jc w:val="center"/>
      </w:tblPr>
      <w:tblGrid>
        <w:gridCol w:w="2974"/>
        <w:gridCol w:w="1474"/>
        <w:gridCol w:w="6017"/>
      </w:tblGrid>
      <w:tr>
        <w:trPr>
          <w:cantSplit/>
          <w:tblHeader w:val="true"/>
        </w:trPr>
        <w:tc>
          <w:tcPr>
            <w:shd w:val="clear" w:color="auto" w:fill="D9E2F3"/>
            <w:tcW w:type="dxa" w:w="2974"/>
          </w:tcPr>
          <w:p>
            <w:pPr>
              <w:keepNext/>
            </w:pPr>
            <w:r/>
            <w:r>
              <w:rPr>
                <w:rFonts w:ascii="Calibri" w:hAnsi="Calibri"/>
                <w:b/>
                <w:i w:val="0"/>
                <w:color w:val="000000"/>
                <w:sz w:val="22"/>
              </w:rPr>
              <w:t>Верзија</w:t>
            </w:r>
            <w:r>
              <w:rPr>
                <w:rFonts w:ascii="Calibri" w:hAnsi="Calibri"/>
                <w:b w:val="0"/>
                <w:i w:val="0"/>
                <w:color w:val="000000"/>
                <w:sz w:val="14"/>
              </w:rPr>
              <w:t xml:space="preserve"> | </w:t>
            </w:r>
            <w:r>
              <w:rPr>
                <w:rFonts w:ascii="Calibri" w:hAnsi="Calibri"/>
                <w:b/>
                <w:i w:val="0"/>
                <w:color w:val="000000"/>
                <w:sz w:val="14"/>
              </w:rPr>
              <w:t>Version</w:t>
            </w:r>
          </w:p>
        </w:tc>
        <w:tc>
          <w:tcPr>
            <w:shd w:val="clear" w:color="auto" w:fill="D9E2F3"/>
            <w:tcW w:type="dxa" w:w="1474"/>
          </w:tcPr>
          <w:p>
            <w:pPr>
              <w:keepNext/>
            </w:pPr>
            <w:r/>
            <w:r>
              <w:rPr>
                <w:rFonts w:ascii="Calibri" w:hAnsi="Calibri"/>
                <w:b/>
                <w:i w:val="0"/>
                <w:color w:val="000000"/>
                <w:sz w:val="22"/>
              </w:rPr>
              <w:t>Датум</w:t>
            </w:r>
            <w:r>
              <w:rPr>
                <w:rFonts w:ascii="Calibri" w:hAnsi="Calibri"/>
                <w:b w:val="0"/>
                <w:i w:val="0"/>
                <w:color w:val="000000"/>
                <w:sz w:val="14"/>
              </w:rPr>
              <w:t xml:space="preserve"> | </w:t>
            </w:r>
            <w:r>
              <w:rPr>
                <w:rFonts w:ascii="Calibri" w:hAnsi="Calibri"/>
                <w:b/>
                <w:i w:val="0"/>
                <w:color w:val="000000"/>
                <w:sz w:val="14"/>
              </w:rPr>
              <w:t>Date</w:t>
            </w:r>
          </w:p>
        </w:tc>
        <w:tc>
          <w:tcPr>
            <w:shd w:val="clear" w:color="auto" w:fill="D9E2F3"/>
            <w:tcW w:type="dxa" w:w="6017"/>
          </w:tcPr>
          <w:p>
            <w:pPr>
              <w:keepNext/>
            </w:pPr>
            <w:r/>
            <w:r>
              <w:rPr>
                <w:rFonts w:ascii="Calibri" w:hAnsi="Calibri"/>
                <w:b/>
                <w:i w:val="0"/>
                <w:color w:val="000000"/>
                <w:sz w:val="22"/>
              </w:rPr>
              <w:t>Опис на измени</w:t>
            </w:r>
            <w:r>
              <w:rPr>
                <w:rFonts w:ascii="Calibri" w:hAnsi="Calibri"/>
                <w:b w:val="0"/>
                <w:i w:val="0"/>
                <w:color w:val="000000"/>
                <w:sz w:val="14"/>
              </w:rPr>
              <w:t xml:space="preserve"> | </w:t>
            </w:r>
            <w:r>
              <w:rPr>
                <w:rFonts w:ascii="Calibri" w:hAnsi="Calibri"/>
                <w:b/>
                <w:i w:val="0"/>
                <w:color w:val="000000"/>
                <w:sz w:val="14"/>
              </w:rPr>
              <w:t>Description of changes</w:t>
            </w:r>
          </w:p>
        </w:tc>
      </w:tr>
      <w:tr>
        <w:trPr>
          <w:cantSplit/>
        </w:trPr>
        <w:tc>
          <w:tcPr>
            <w:tcW w:type="dxa" w:w="2974"/>
          </w:tcPr>
          <w:p>
            <w:r/>
            <w:r>
              <w:rPr>
                <w:rFonts w:ascii="Calibri" w:hAnsi="Calibri"/>
                <w:b w:val="0"/>
                <w:i w:val="0"/>
                <w:color w:val="000000"/>
                <w:sz w:val="22"/>
              </w:rPr>
              <w:t>01</w:t>
            </w:r>
            <w:r>
              <w:rPr>
                <w:rFonts w:ascii="Calibri" w:hAnsi="Calibri"/>
                <w:b w:val="0"/>
                <w:i w:val="0"/>
                <w:color w:val="000000"/>
                <w:sz w:val="14"/>
              </w:rPr>
            </w:r>
          </w:p>
        </w:tc>
        <w:tc>
          <w:tcPr>
            <w:tcW w:type="dxa" w:w="1474"/>
          </w:tcPr>
          <w:p>
            <w:r/>
            <w:r>
              <w:rPr>
                <w:rFonts w:ascii="Calibri" w:hAnsi="Calibri"/>
                <w:b w:val="0"/>
                <w:i w:val="0"/>
                <w:color w:val="000000"/>
                <w:sz w:val="22"/>
              </w:rPr>
            </w:r>
            <w:r>
              <w:rPr>
                <w:rFonts w:ascii="Calibri" w:hAnsi="Calibri"/>
                <w:b w:val="0"/>
                <w:i w:val="0"/>
                <w:color w:val="000000"/>
                <w:sz w:val="14"/>
              </w:rPr>
            </w:r>
          </w:p>
        </w:tc>
        <w:tc>
          <w:tcPr>
            <w:tcW w:type="dxa" w:w="6017"/>
          </w:tcPr>
          <w:p>
            <w:r/>
            <w:r>
              <w:rPr>
                <w:rFonts w:ascii="Calibri" w:hAnsi="Calibri"/>
                <w:b w:val="0"/>
                <w:i w:val="0"/>
                <w:color w:val="000000"/>
                <w:sz w:val="22"/>
              </w:rPr>
              <w:t>Нова СОП; ги обединува внатрешните движења на опојни дроги (производ, пропагационен материјал, отпад) со договорен превозник под полициско придружување од МВР, со палети и систем на хартија; заменува ги соодветните делови на PRO-06-001 и LO_SOP_006. Транспортот на мостри за КК не е опфатен (PP-QC-SOP-025).</w:t>
            </w:r>
            <w:r>
              <w:rPr>
                <w:rFonts w:ascii="Calibri" w:hAnsi="Calibri"/>
                <w:b w:val="0"/>
                <w:i w:val="0"/>
                <w:color w:val="000000"/>
                <w:sz w:val="14"/>
              </w:rPr>
              <w:t xml:space="preserve"> | </w:t>
            </w:r>
            <w:r>
              <w:rPr>
                <w:rFonts w:ascii="Calibri" w:hAnsi="Calibri"/>
                <w:b w:val="0"/>
                <w:i w:val="0"/>
                <w:color w:val="000000"/>
                <w:sz w:val="14"/>
              </w:rPr>
              <w:t>New SOP; consolidates inland movements of narcotic drugs (product, propagation material, waste) by a contracted carrier under MoIA police escort, palletised and paper-based; supersedes the relevant sections of PRO-06-001 and LO_SOP_006. QC sample transport is not covered (PP-QC-SOP-025).</w:t>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Внатрешен (копнен) транспорт на опојни дроги — медицински канабис</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Inland Transport of Narcotic Drugs (Euphoric Substances) — Medical Cannabis</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WHSOP_003</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DRAFT</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