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CoQ-PP_26-001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82"/>
        <w:gridCol w:w="63"/>
        <w:gridCol w:w="1735"/>
        <w:gridCol w:w="5450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082"/>
            <w:shd w:val="clear" w:color="auto" w:fill="FFFFFF"/>
          </w:tcPr>
          <w:tbl>
            <w:tblPr>
              <w:tblW w:w="40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82"/>
            </w:tblGrid>
            <w:tr>
              <w:trPr>
                <w:trHeight w:val="180" w:hRule="exact"/>
              </w:trPr>
              <w:tc>
                <w:tcPr>
                  <w:tcW w:type="dxa" w:w="40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5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32"/>
              <w:gridCol w:w="47"/>
              <w:gridCol w:w="125"/>
              <w:gridCol w:w="71"/>
              <w:gridCol w:w="2474"/>
            </w:tblGrid>
            <w:tr>
              <w:trPr>
                <w:trHeight w:val="450" w:hRule="exact"/>
              </w:trPr>
              <w:tc>
                <w:tcPr>
                  <w:tcW w:type="dxa" w:w="1332"/>
                </w:tcPr>
                <w:tbl>
                  <w:tblPr>
                    <w:tblW w:w="133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32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33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CJ1024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474"/>
                </w:tcPr>
                <w:tbl>
                  <w:tblPr>
                    <w:tblW w:w="24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47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Cap Junky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3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735"/>
            <w:shd w:val="clear" w:color="auto" w:fill="FFFFFF"/>
          </w:tcPr>
          <w:tbl>
            <w:tblPr>
              <w:tblW w:w="173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35"/>
            </w:tblGrid>
            <w:tr>
              <w:trPr>
                <w:trHeight w:val="195" w:hRule="exact"/>
              </w:trPr>
              <w:tc>
                <w:tcPr>
                  <w:tcW w:type="dxa" w:w="173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73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35"/>
            </w:tblGrid>
            <w:tr>
              <w:trPr>
                <w:trHeight w:val="435" w:hRule="exact"/>
              </w:trPr>
              <w:tc>
                <w:tcPr>
                  <w:tcW w:type="dxa" w:w="1735"/>
                </w:tcPr>
                <w:tbl>
                  <w:tblPr>
                    <w:tblW w:w="173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3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735"/>
                      </w:tcPr>
                      <w:tbl>
                        <w:tblPr>
                          <w:tblW w:w="173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35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73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23.00 %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45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22"/>
        <w:gridCol w:w="144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22"/>
            <w:shd w:val="clear" w:color="auto" w:fill="FFFFFF"/>
          </w:tcPr>
          <w:tbl>
            <w:tblPr>
              <w:tblW w:w="53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22"/>
            </w:tblGrid>
            <w:tr>
              <w:trPr>
                <w:trHeight w:val="105" w:hRule="exact"/>
              </w:trPr>
              <w:tc>
                <w:tcPr>
                  <w:tcW w:type="dxa" w:w="53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74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4"/>
                </w:tcPr>
                <w:tbl>
                  <w:tblPr>
                    <w:tblW w:w="23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4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74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60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40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CJ_THC24:CBD1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24.00%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2.40%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(21.60 – 26.39 %)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QCSP_001_CJ-II_v.01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227"/>
        <w:gridCol w:w="564"/>
        <w:gridCol w:w="1642"/>
        <w:gridCol w:w="575"/>
        <w:gridCol w:w="1391"/>
        <w:gridCol w:w="580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227"/>
            <w:shd w:val="clear" w:color="auto" w:fill="FFFEFC"/>
          </w:tcPr>
          <w:tbl>
            <w:tblPr>
              <w:tblW w:w="222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227"/>
            </w:tblGrid>
            <w:tr>
              <w:trPr>
                <w:trHeight w:val="76" w:hRule="exact"/>
              </w:trPr>
              <w:tc>
                <w:tcPr>
                  <w:tcW w:type="dxa" w:w="222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8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584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84"/>
                </w:tcPr>
                <w:tbl>
                  <w:tblPr>
                    <w:tblW w:w="5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8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5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8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5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CJ1024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75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8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23.00 %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5.91 %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8.4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0.036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0.013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0.063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0.006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iCoA-PP_26-001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ППК25052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26.02.2025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164/0272/25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24.02.2025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750/2025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27.02.2025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CJ1024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7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49918" cy="550674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1600">
                                              <a:off x="0" y="0"/>
                                              <a:ext cx="449918" cy="55067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4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99684" cy="561461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3400">
                                              <a:off x="0" y="0"/>
                                              <a:ext cx="599684" cy="561461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A9DED682-48E2-4EA7-86C6-8E9ECA297C54}"/>
    <w:embedItalic r:id="rIdFont2" w:fontKey="{3CAD92D2-C6A3-4010-93E2-3641CD1DF303}"/>
    <w:embedBold r:id="rIdFont3" w:fontKey="{91958571-568A-4D50-A8C7-B673EA6927BA}"/>
  </w:font>
  <w:font w:name="Montserrat ExtraBold">
    <w:charset w:val="00"/>
    <w:family w:val="auto"/>
    <w:pitch w:val="variable"/>
    <w:embedRegular r:id="rIdFont4" w:fontKey="{7A8DF3BB-8A2B-434E-970C-78CBC14D276F}"/>
  </w:font>
  <w:font w:name="Montserrat Medium">
    <w:charset w:val="00"/>
    <w:family w:val="auto"/>
    <w:pitch w:val="variable"/>
    <w:embedRegular r:id="rIdFont5" w:fontKey="{DEDCFE5A-361C-4732-AB4A-260363D96F3A}"/>
    <w:embedItalic r:id="rIdFont6" w:fontKey="{389D43C9-52FE-4068-8D70-F4C78B77D6B1}"/>
  </w:font>
  <w:font w:name="Montserrat SemiBold">
    <w:charset w:val="00"/>
    <w:family w:val="auto"/>
    <w:pitch w:val="variable"/>
    <w:embedRegular r:id="rIdFont7" w:fontKey="{51E84E4F-37AD-410E-8C28-7797729E90AD}"/>
    <w:embedItalic r:id="rIdFont8" w:fontKey="{5379F449-FFF1-445D-BF19-AF55EDE24194}"/>
  </w:font>
  <w:font w:name="Orbitron">
    <w:charset w:val="00"/>
    <w:family w:val="auto"/>
    <w:pitch w:val="variable"/>
    <w:embedBold r:id="rIdFont9" w:fontKey="{9255FF34-46F6-4230-B21D-F2ADCD4F13FF}"/>
  </w:font>
  <w:font w:name="Orbitron Black">
    <w:charset w:val="00"/>
    <w:family w:val="auto"/>
    <w:pitch w:val="variable"/>
    <w:embedRegular r:id="rIdFont10" w:fontKey="{6E0E2707-D2DC-460B-877F-DA44BE51E2B8}"/>
  </w:font>
  <w:font w:name="Orbitron ExtraBold">
    <w:charset w:val="00"/>
    <w:family w:val="auto"/>
    <w:pitch w:val="variable"/>
    <w:embedRegular r:id="rIdFont11" w:fontKey="{0539A91D-047C-4F57-B1DB-15D3000E5C31}"/>
  </w:font>
  <w:font w:name="Orbitron Medium">
    <w:charset w:val="00"/>
    <w:family w:val="auto"/>
    <w:pitch w:val="variable"/>
    <w:embedRegular r:id="rIdFont12" w:fontKey="{E7EA5592-B900-42E8-87F4-572FE990CFDA}"/>
  </w:font>
  <w:font w:name="Roboto Mono">
    <w:charset w:val="00"/>
    <w:family w:val="auto"/>
    <w:pitch w:val="variable"/>
    <w:embedRegular r:id="rIdFont13" w:fontKey="{86BC2EDE-53BB-4A93-936B-1DBBAADF4257}"/>
    <w:embedBold r:id="rIdFont14" w:fontKey="{389F2DD0-2E02-48CD-AC25-6180016DF1B0}"/>
  </w:font>
  <w:font w:name="Roboto Mono Medium">
    <w:charset w:val="00"/>
    <w:family w:val="auto"/>
    <w:pitch w:val="variable"/>
    <w:embedRegular r:id="rIdFont15" w:fontKey="{7F947F31-AA84-4BCD-9ECA-9BF1968A0BA9}"/>
    <w:embedItalic r:id="rIdFont16" w:fontKey="{AB8B7ECB-7FDE-4965-9D44-AA93FEBD429D}"/>
  </w:font>
  <w:font w:name="Roboto Mono SemiBold">
    <w:charset w:val="00"/>
    <w:family w:val="auto"/>
    <w:pitch w:val="variable"/>
    <w:embedRegular r:id="rIdFont17" w:fontKey="{F54D1B6C-B101-457F-B35B-EDE2129F22D0}"/>
    <w:embedItalic r:id="rIdFont18" w:fontKey="{41966293-54D7-4EBE-A7B5-CB3625B00FC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CoQ-PP_26-001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