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519"/>
        <w:gridCol w:w="481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9"/>
            <w:shd w:val="clear" w:color="auto" w:fill="FFFFFF"/>
          </w:tcPr>
          <w:tbl>
            <w:tblPr>
              <w:tblW w:w="15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9"/>
            </w:tblGrid>
            <w:tr>
              <w:trPr>
                <w:trHeight w:val="195" w:hRule="exact"/>
              </w:trPr>
              <w:tc>
                <w:tcPr>
                  <w:tcW w:type="dxa" w:w="151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9"/>
            </w:tblGrid>
            <w:tr>
              <w:trPr>
                <w:trHeight w:val="435" w:hRule="exact"/>
              </w:trPr>
              <w:tc>
                <w:tcPr>
                  <w:tcW w:type="dxa" w:w="1519"/>
                </w:tcPr>
                <w:tbl>
                  <w:tblPr>
                    <w:tblW w:w="15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9"/>
                      </w:tcPr>
                      <w:tbl>
                        <w:tblPr>
                          <w:tblW w:w="15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9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17.22 %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1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17.22 %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7.54 %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0.007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ППК25104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17.04.2025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320/0587/25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14.04.2025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1766/2025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11.04.2025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8495" cy="55291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78495" cy="55291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4878" cy="56186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604878" cy="56186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1437C80-92CD-48E9-BEAD-8365983AAB8A}"/>
    <w:embedItalic r:id="rIdFont2" w:fontKey="{1AC41A5C-6F8F-4265-AA5B-0EFAF170D410}"/>
    <w:embedBold r:id="rIdFont3" w:fontKey="{F4484062-6C3B-4D90-8FD0-157BEF0EA25E}"/>
  </w:font>
  <w:font w:name="Montserrat ExtraBold">
    <w:charset w:val="00"/>
    <w:family w:val="auto"/>
    <w:pitch w:val="variable"/>
    <w:embedRegular r:id="rIdFont4" w:fontKey="{E4293883-60F2-4EBF-9BA5-180A112CCBB7}"/>
  </w:font>
  <w:font w:name="Montserrat Medium">
    <w:charset w:val="00"/>
    <w:family w:val="auto"/>
    <w:pitch w:val="variable"/>
    <w:embedRegular r:id="rIdFont5" w:fontKey="{52740FFF-E013-4996-B8EB-4F4EF6374ABB}"/>
    <w:embedItalic r:id="rIdFont6" w:fontKey="{23A3230D-6CE1-49E7-B3F6-F9C31CBAB59B}"/>
  </w:font>
  <w:font w:name="Montserrat SemiBold">
    <w:charset w:val="00"/>
    <w:family w:val="auto"/>
    <w:pitch w:val="variable"/>
    <w:embedRegular r:id="rIdFont7" w:fontKey="{545C3524-3DDC-4C08-8CFE-88B91BD026AC}"/>
    <w:embedItalic r:id="rIdFont8" w:fontKey="{2780B9CA-F672-4CD2-82EB-596E6C748342}"/>
  </w:font>
  <w:font w:name="Orbitron">
    <w:charset w:val="00"/>
    <w:family w:val="auto"/>
    <w:pitch w:val="variable"/>
    <w:embedBold r:id="rIdFont9" w:fontKey="{0D12B15A-A8E2-4430-9065-4E224B8386AD}"/>
  </w:font>
  <w:font w:name="Orbitron Black">
    <w:charset w:val="00"/>
    <w:family w:val="auto"/>
    <w:pitch w:val="variable"/>
    <w:embedRegular r:id="rIdFont10" w:fontKey="{B75E0985-7170-493C-8023-B6812D23014C}"/>
  </w:font>
  <w:font w:name="Orbitron ExtraBold">
    <w:charset w:val="00"/>
    <w:family w:val="auto"/>
    <w:pitch w:val="variable"/>
    <w:embedRegular r:id="rIdFont11" w:fontKey="{E15AD2FD-C4A6-41A5-9E62-E2B8D9DEE873}"/>
  </w:font>
  <w:font w:name="Orbitron Medium">
    <w:charset w:val="00"/>
    <w:family w:val="auto"/>
    <w:pitch w:val="variable"/>
    <w:embedRegular r:id="rIdFont12" w:fontKey="{737CDB72-6A98-4C7D-8815-0C8A5740D9C5}"/>
  </w:font>
  <w:font w:name="Roboto Mono">
    <w:charset w:val="00"/>
    <w:family w:val="auto"/>
    <w:pitch w:val="variable"/>
    <w:embedRegular r:id="rIdFont13" w:fontKey="{9B95FC11-18B9-4B93-83A0-7E76D4B9BC86}"/>
    <w:embedBold r:id="rIdFont14" w:fontKey="{8CFBB5FE-2189-41FA-A6AA-6B639A0DE5F0}"/>
  </w:font>
  <w:font w:name="Roboto Mono Medium">
    <w:charset w:val="00"/>
    <w:family w:val="auto"/>
    <w:pitch w:val="variable"/>
    <w:embedRegular r:id="rIdFont15" w:fontKey="{EFD75E27-3BF3-47E3-B724-A2635AB7F660}"/>
    <w:embedItalic r:id="rIdFont16" w:fontKey="{07209023-E4F8-4D6A-BE3F-04619F2A3957}"/>
  </w:font>
  <w:font w:name="Roboto Mono SemiBold">
    <w:charset w:val="00"/>
    <w:family w:val="auto"/>
    <w:pitch w:val="variable"/>
    <w:embedRegular r:id="rIdFont17" w:fontKey="{5BD45ECD-5CC4-4D72-92FC-E8F90CFBBC61}"/>
    <w:embedItalic r:id="rIdFont18" w:fontKey="{5232BF2F-8D69-4520-8876-994BFD7D11B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CoQ-PP_26-015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