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CoQ-PP_26-016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64"/>
        <w:gridCol w:w="1674"/>
        <w:gridCol w:w="5531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shd w:val="clear" w:color="auto" w:fill="FFFFFF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80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P050102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674"/>
            <w:shd w:val="clear" w:color="auto" w:fill="FFFFFF"/>
          </w:tcPr>
          <w:tbl>
            <w:tblPr>
              <w:tblW w:w="167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74"/>
            </w:tblGrid>
            <w:tr>
              <w:trPr>
                <w:trHeight w:val="195" w:hRule="exact"/>
              </w:trPr>
              <w:tc>
                <w:tcPr>
                  <w:tcW w:type="dxa" w:w="167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7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74"/>
            </w:tblGrid>
            <w:tr>
              <w:trPr>
                <w:trHeight w:val="435" w:hRule="exact"/>
              </w:trPr>
              <w:tc>
                <w:tcPr>
                  <w:tcW w:type="dxa" w:w="1674"/>
                </w:tcPr>
                <w:tbl>
                  <w:tblPr>
                    <w:tblW w:w="16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674"/>
                      </w:tcPr>
                      <w:tbl>
                        <w:tblPr>
                          <w:tblW w:w="167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74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67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20.79 %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31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379"/>
        <w:gridCol w:w="2122"/>
        <w:gridCol w:w="1383"/>
        <w:gridCol w:w="3606"/>
        <w:gridCol w:w="469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GP_THC20:CBD1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20.00%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(18.00 – 21.99 %)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8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06"/>
            <w:shd w:val="clear" w:color="auto" w:fill="FFFEFC"/>
          </w:tcPr>
          <w:tbl>
            <w:tblPr>
              <w:tblW w:w="36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06"/>
            </w:tblGrid>
            <w:tr>
              <w:trPr>
                <w:trHeight w:val="104" w:hRule="exact"/>
              </w:trPr>
              <w:tc>
                <w:tcPr>
                  <w:tcW w:type="dxa" w:w="36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6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660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60"/>
                </w:tcPr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66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66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QCSP_001_GP-III_v.01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9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532"/>
        <w:gridCol w:w="1642"/>
        <w:gridCol w:w="545"/>
        <w:gridCol w:w="1391"/>
        <w:gridCol w:w="55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P050102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5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20.79 %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0.06 %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6.73 %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4.2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0.026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0.005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0.015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0.005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iCoA-PP_26-015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ППК25105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17.04.2025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318/0585/25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14.04.2025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1767/2025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11.04.2025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P050102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6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6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39615" cy="549945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200">
                                              <a:off x="0" y="0"/>
                                              <a:ext cx="439615" cy="54994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3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91967" cy="560869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3400">
                                              <a:off x="0" y="0"/>
                                              <a:ext cx="591967" cy="56086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E4869E3-B3CF-4A05-BB93-8FE42633D070}"/>
    <w:embedItalic r:id="rIdFont2" w:fontKey="{6426908D-F8EB-4A75-B1E4-160B319AF51A}"/>
    <w:embedBold r:id="rIdFont3" w:fontKey="{0B322C5F-C014-4942-A5D7-B126687923C6}"/>
  </w:font>
  <w:font w:name="Montserrat ExtraBold">
    <w:charset w:val="00"/>
    <w:family w:val="auto"/>
    <w:pitch w:val="variable"/>
    <w:embedRegular r:id="rIdFont4" w:fontKey="{79813319-475A-4B04-8942-950A444243B1}"/>
  </w:font>
  <w:font w:name="Montserrat Medium">
    <w:charset w:val="00"/>
    <w:family w:val="auto"/>
    <w:pitch w:val="variable"/>
    <w:embedRegular r:id="rIdFont5" w:fontKey="{3D7E7034-F19A-4851-A3BF-B725A06358A8}"/>
    <w:embedItalic r:id="rIdFont6" w:fontKey="{09BAA736-11E1-4592-B95D-588A7CA0DD94}"/>
  </w:font>
  <w:font w:name="Montserrat SemiBold">
    <w:charset w:val="00"/>
    <w:family w:val="auto"/>
    <w:pitch w:val="variable"/>
    <w:embedRegular r:id="rIdFont7" w:fontKey="{D5786417-C2B3-41E6-8F00-196C15B95D08}"/>
    <w:embedItalic r:id="rIdFont8" w:fontKey="{82EA2B80-E6D2-4516-81A1-FB587F34B6DD}"/>
  </w:font>
  <w:font w:name="Orbitron">
    <w:charset w:val="00"/>
    <w:family w:val="auto"/>
    <w:pitch w:val="variable"/>
    <w:embedBold r:id="rIdFont9" w:fontKey="{9037ABD7-3E12-4971-9993-0278115A3EB1}"/>
  </w:font>
  <w:font w:name="Orbitron Black">
    <w:charset w:val="00"/>
    <w:family w:val="auto"/>
    <w:pitch w:val="variable"/>
    <w:embedRegular r:id="rIdFont10" w:fontKey="{9F643134-5D22-41F7-8182-CD726E8AA375}"/>
  </w:font>
  <w:font w:name="Orbitron ExtraBold">
    <w:charset w:val="00"/>
    <w:family w:val="auto"/>
    <w:pitch w:val="variable"/>
    <w:embedRegular r:id="rIdFont11" w:fontKey="{C435D0CD-3FCF-4040-B512-3C0FC1057606}"/>
  </w:font>
  <w:font w:name="Orbitron Medium">
    <w:charset w:val="00"/>
    <w:family w:val="auto"/>
    <w:pitch w:val="variable"/>
    <w:embedRegular r:id="rIdFont12" w:fontKey="{68CA319F-F52E-4D97-B6D4-306F9C9EBE23}"/>
  </w:font>
  <w:font w:name="Roboto Mono">
    <w:charset w:val="00"/>
    <w:family w:val="auto"/>
    <w:pitch w:val="variable"/>
    <w:embedRegular r:id="rIdFont13" w:fontKey="{4C463F1F-FB11-4444-8492-78375CA1C748}"/>
    <w:embedBold r:id="rIdFont14" w:fontKey="{F0E341A9-DD64-483B-A2E1-950F554DFC4F}"/>
  </w:font>
  <w:font w:name="Roboto Mono Medium">
    <w:charset w:val="00"/>
    <w:family w:val="auto"/>
    <w:pitch w:val="variable"/>
    <w:embedRegular r:id="rIdFont15" w:fontKey="{D5387D9D-1BD1-4E1E-A7A9-9DA34E6786F6}"/>
    <w:embedItalic r:id="rIdFont16" w:fontKey="{F3AEC68C-C1BC-41F8-A8D7-A9E27AB0A77F}"/>
  </w:font>
  <w:font w:name="Roboto Mono SemiBold">
    <w:charset w:val="00"/>
    <w:family w:val="auto"/>
    <w:pitch w:val="variable"/>
    <w:embedRegular r:id="rIdFont17" w:fontKey="{46A2E1CC-1BF9-49DC-994F-79E4AEB94E1A}"/>
    <w:embedItalic r:id="rIdFont18" w:fontKey="{3B604AE1-A654-443C-995B-CF6B25C34576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CoQ-PP_26-016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