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83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723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660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65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CoQ-PP_26-018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06.06.2026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899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6980"/>
        <w:gridCol w:w="1697"/>
        <w:gridCol w:w="2646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6980"/>
            <w:shd w:val="clear" w:color="auto" w:fill="FFFFFF"/>
          </w:tcPr>
          <w:tbl>
            <w:tblPr>
              <w:tblW w:w="69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980"/>
            </w:tblGrid>
            <w:tr>
              <w:trPr>
                <w:trHeight w:val="180" w:hRule="exact"/>
              </w:trPr>
              <w:tc>
                <w:tcPr>
                  <w:tcW w:type="dxa" w:w="69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694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5157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P050122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57"/>
                </w:tcPr>
                <w:tbl>
                  <w:tblPr>
                    <w:tblW w:w="51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57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51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Blue Sunset Sherbet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697"/>
            <w:shd w:val="clear" w:color="auto" w:fill="FFFFFF"/>
          </w:tcPr>
          <w:tbl>
            <w:tblPr>
              <w:tblW w:w="16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97"/>
            </w:tblGrid>
            <w:tr>
              <w:trPr>
                <w:trHeight w:val="195" w:hRule="exact"/>
              </w:trPr>
              <w:tc>
                <w:tcPr>
                  <w:tcW w:type="dxa" w:w="16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97"/>
            </w:tblGrid>
            <w:tr>
              <w:trPr>
                <w:trHeight w:val="435" w:hRule="exact"/>
              </w:trPr>
              <w:tc>
                <w:tcPr>
                  <w:tcW w:type="dxa" w:w="1697"/>
                </w:tcPr>
                <w:tbl>
                  <w:tblPr>
                    <w:tblW w:w="16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97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697"/>
                      </w:tcPr>
                      <w:tbl>
                        <w:tblPr>
                          <w:tblW w:w="16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97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6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23.42 %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646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845"/>
        <w:gridCol w:w="1622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3845"/>
            <w:shd w:val="clear" w:color="auto" w:fill="FFFFFF"/>
          </w:tcPr>
          <w:tbl>
            <w:tblPr>
              <w:tblW w:w="38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45"/>
            </w:tblGrid>
            <w:tr>
              <w:trPr>
                <w:trHeight w:val="105" w:hRule="exact"/>
              </w:trPr>
              <w:tc>
                <w:tcPr>
                  <w:tcW w:type="dxa" w:w="38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0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836"/>
              <w:gridCol w:w="82"/>
              <w:gridCol w:w="1803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36"/>
                </w:tcPr>
                <w:tbl>
                  <w:tblPr>
                    <w:tblW w:w="8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9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4" w:after="0" w:line="19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4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03"/>
                </w:tcPr>
                <w:tbl>
                  <w:tblPr>
                    <w:tblW w:w="17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97"/>
                    <w:gridCol w:w="51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97"/>
                      </w:tcPr>
                      <w:tbl>
                        <w:tblPr>
                          <w:tblW w:w="8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97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97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622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462"/>
        <w:gridCol w:w="1332"/>
        <w:gridCol w:w="2122"/>
        <w:gridCol w:w="1339"/>
        <w:gridCol w:w="3606"/>
        <w:gridCol w:w="468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462"/>
            <w:shd w:val="clear" w:color="auto" w:fill="FFFEFC"/>
          </w:tcPr>
          <w:tbl>
            <w:tblPr>
              <w:tblW w:w="246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62"/>
            </w:tblGrid>
            <w:tr>
              <w:trPr>
                <w:trHeight w:val="104" w:hRule="exact"/>
              </w:trPr>
              <w:tc>
                <w:tcPr>
                  <w:tcW w:type="dxa" w:w="246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3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314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14"/>
                </w:tcPr>
                <w:tbl>
                  <w:tblPr>
                    <w:tblW w:w="131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14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31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31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14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1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BSS_THC24:CBD1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332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2"/>
            <w:shd w:val="clear" w:color="auto" w:fill="FFFEFC"/>
          </w:tcPr>
          <w:tbl>
            <w:tblPr>
              <w:tblW w:w="21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2"/>
            </w:tblGrid>
            <w:tr>
              <w:trPr>
                <w:trHeight w:val="45" w:hRule="exact"/>
              </w:trPr>
              <w:tc>
                <w:tcPr>
                  <w:tcW w:type="dxa" w:w="21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0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9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7"/>
                </w:tcPr>
                <w:tbl>
                  <w:tblPr>
                    <w:tblW w:w="13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9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97"/>
                      </w:tcPr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24.00%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2.11%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9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(21.89 – 26.10 %)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339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606"/>
            <w:shd w:val="clear" w:color="auto" w:fill="FFFEFC"/>
          </w:tcPr>
          <w:tbl>
            <w:tblPr>
              <w:tblW w:w="36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06"/>
            </w:tblGrid>
            <w:tr>
              <w:trPr>
                <w:trHeight w:val="104" w:hRule="exact"/>
              </w:trPr>
              <w:tc>
                <w:tcPr>
                  <w:tcW w:type="dxa" w:w="36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6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660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60"/>
                </w:tcPr>
                <w:tbl>
                  <w:tblPr>
                    <w:tblW w:w="166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60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66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66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6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66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QCSP_001_BSS-II_v.01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8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18"/>
        <w:gridCol w:w="532"/>
        <w:gridCol w:w="1642"/>
        <w:gridCol w:w="545"/>
        <w:gridCol w:w="1391"/>
        <w:gridCol w:w="550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18"/>
            <w:shd w:val="clear" w:color="auto" w:fill="FFFEFC"/>
          </w:tcPr>
          <w:tbl>
            <w:tblPr>
              <w:tblW w:w="23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18"/>
            </w:tblGrid>
            <w:tr>
              <w:trPr>
                <w:trHeight w:val="76" w:hRule="exact"/>
              </w:trPr>
              <w:tc>
                <w:tcPr>
                  <w:tcW w:type="dxa" w:w="23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2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676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76"/>
                </w:tcPr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67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P050122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32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642"/>
            <w:shd w:val="clear" w:color="auto" w:fill="FFFEFC"/>
          </w:tcPr>
          <w:tbl>
            <w:tblPr>
              <w:tblW w:w="16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2"/>
            </w:tblGrid>
            <w:tr>
              <w:trPr>
                <w:trHeight w:val="76" w:hRule="exact"/>
              </w:trPr>
              <w:tc>
                <w:tcPr>
                  <w:tcW w:type="dxa" w:w="164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1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119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19"/>
                </w:tcPr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1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1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45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391"/>
            <w:shd w:val="clear" w:color="auto" w:fill="FFFEFC"/>
          </w:tcPr>
          <w:tbl>
            <w:tblPr>
              <w:tblW w:w="13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391"/>
            </w:tblGrid>
            <w:tr>
              <w:trPr>
                <w:trHeight w:val="76" w:hRule="exact"/>
              </w:trPr>
              <w:tc>
                <w:tcPr>
                  <w:tcW w:type="dxa" w:w="139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36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119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19"/>
                </w:tcPr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1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1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50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23.42 %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0.06 %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6.38 %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2 µg/kg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0.112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6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iCoA-PP_26-077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03.06.2026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UKIM Faculty of Pharmacy — Center for Natural Products · ISO/IEC 17025:2017 </w:t>
            </w:r>
          </w:p>
          <w:p>
            <w:pPr>
              <w:tabs>
                <w:tab w:val="left" w:pos="2328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УКИМ ФФ — Центар за Природни Производи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LT-083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Mother Theresa 47,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ППК25176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10.07.2025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3, 4, 5, 6, 8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9EACBA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shd w:val="clear" w:color="auto" w:fill="9EACBA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626/1127/25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02.07.2025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3177/2025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26.06.2025</w:t>
            </w:r>
          </w:p>
        </w:tc>
        <w:tc>
          <w:tcPr>
            <w:tcW w:type="dxa" w:w="2580"/>
            <w:shd w:val="clear" w:color="auto" w:fill="9EACBA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9, 10, 11, 12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P050122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72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72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91554" cy="553914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62200">
                                              <a:off x="0" y="0"/>
                                              <a:ext cx="491554" cy="553914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72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72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95958" cy="553498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263400">
                                              <a:off x="0" y="0"/>
                                              <a:ext cx="495958" cy="553498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331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MK GMP Certified Facility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DB73A64F-304D-466E-A7F3-BED85BACBB95}"/>
    <w:embedItalic r:id="rIdFont2" w:fontKey="{84CFFA27-7BDE-400B-A26B-CB73F802800C}"/>
    <w:embedBold r:id="rIdFont3" w:fontKey="{963D0F57-7D26-4D4A-90FA-386AE38863D4}"/>
  </w:font>
  <w:font w:name="Montserrat ExtraBold">
    <w:charset w:val="00"/>
    <w:family w:val="auto"/>
    <w:pitch w:val="variable"/>
    <w:embedRegular r:id="rIdFont4" w:fontKey="{3B9BE190-210F-425E-AA2D-C8E2860C4C37}"/>
  </w:font>
  <w:font w:name="Montserrat Medium">
    <w:charset w:val="00"/>
    <w:family w:val="auto"/>
    <w:pitch w:val="variable"/>
    <w:embedRegular r:id="rIdFont5" w:fontKey="{83E64B1F-9AC6-4707-9A1A-FA5778C6F0AC}"/>
    <w:embedItalic r:id="rIdFont6" w:fontKey="{C61F6453-3EB4-4C12-8609-84A7DDC745D2}"/>
  </w:font>
  <w:font w:name="Montserrat SemiBold">
    <w:charset w:val="00"/>
    <w:family w:val="auto"/>
    <w:pitch w:val="variable"/>
    <w:embedRegular r:id="rIdFont7" w:fontKey="{84B35901-1D81-46B8-AB8D-EA7973F77262}"/>
    <w:embedItalic r:id="rIdFont8" w:fontKey="{98EE8DA5-5D12-489C-8948-DFF9E5264A15}"/>
  </w:font>
  <w:font w:name="Orbitron">
    <w:charset w:val="00"/>
    <w:family w:val="auto"/>
    <w:pitch w:val="variable"/>
    <w:embedBold r:id="rIdFont9" w:fontKey="{BF711059-2BE8-48D3-AF3F-E22308230A04}"/>
  </w:font>
  <w:font w:name="Orbitron Black">
    <w:charset w:val="00"/>
    <w:family w:val="auto"/>
    <w:pitch w:val="variable"/>
    <w:embedRegular r:id="rIdFont10" w:fontKey="{ADB2CD05-7DB4-48C9-8637-5E5049EEBF75}"/>
  </w:font>
  <w:font w:name="Orbitron ExtraBold">
    <w:charset w:val="00"/>
    <w:family w:val="auto"/>
    <w:pitch w:val="variable"/>
    <w:embedRegular r:id="rIdFont11" w:fontKey="{F3726001-FF1D-4FB8-A36E-36172D0BECD7}"/>
  </w:font>
  <w:font w:name="Orbitron Medium">
    <w:charset w:val="00"/>
    <w:family w:val="auto"/>
    <w:pitch w:val="variable"/>
    <w:embedRegular r:id="rIdFont12" w:fontKey="{F45B762F-142B-42EF-B866-7373F94C6DA5}"/>
  </w:font>
  <w:font w:name="Roboto Mono">
    <w:charset w:val="00"/>
    <w:family w:val="auto"/>
    <w:pitch w:val="variable"/>
    <w:embedRegular r:id="rIdFont13" w:fontKey="{B0FBBCE2-B617-44A6-B79C-119070F2F1A5}"/>
    <w:embedBold r:id="rIdFont14" w:fontKey="{0EFAB6F1-A84A-4797-8AA8-7355E0150715}"/>
  </w:font>
  <w:font w:name="Roboto Mono Medium">
    <w:charset w:val="00"/>
    <w:family w:val="auto"/>
    <w:pitch w:val="variable"/>
    <w:embedRegular r:id="rIdFont15" w:fontKey="{179604EC-4EBE-42E4-878D-AC8811AA9377}"/>
    <w:embedItalic r:id="rIdFont16" w:fontKey="{CF5D0DBB-F4EB-4EE7-9C51-F410A120F258}"/>
  </w:font>
  <w:font w:name="Roboto Mono SemiBold">
    <w:charset w:val="00"/>
    <w:family w:val="auto"/>
    <w:pitch w:val="variable"/>
    <w:embedRegular r:id="rIdFont17" w:fontKey="{5732424F-7E89-4593-B0F0-8E0B6D63B032}"/>
    <w:embedItalic r:id="rIdFont18" w:fontKey="{9D719BEA-3819-451E-B987-2DD18E0E17BD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CoQ-PP_26-018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