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CoQ-PP_26-029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674"/>
        <w:gridCol w:w="529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74"/>
            <w:shd w:val="clear" w:color="auto" w:fill="FFFFFF"/>
          </w:tcPr>
          <w:tbl>
            <w:tblPr>
              <w:tblW w:w="16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4"/>
            </w:tblGrid>
            <w:tr>
              <w:trPr>
                <w:trHeight w:val="195" w:hRule="exact"/>
              </w:trPr>
              <w:tc>
                <w:tcPr>
                  <w:tcW w:type="dxa" w:w="167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4"/>
            </w:tblGrid>
            <w:tr>
              <w:trPr>
                <w:trHeight w:val="435" w:hRule="exact"/>
              </w:trPr>
              <w:tc>
                <w:tcPr>
                  <w:tcW w:type="dxa" w:w="1674"/>
                </w:tcPr>
                <w:tbl>
                  <w:tblPr>
                    <w:tblW w:w="16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74"/>
                      </w:tcPr>
                      <w:tbl>
                        <w:tblPr>
                          <w:tblW w:w="167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7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7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23.70 %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9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(21.60 – 26.39 %)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23.70 %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0.09 %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8.22 %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4.5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3.5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iCoA-PP_26-027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ППК25367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28.11.2025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1218/2169/25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01.12.2025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5697/2025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02.12.2025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P050252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6557" cy="54894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26557" cy="54894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9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55528" cy="55799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55528" cy="55799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654F719-A672-4CB1-9991-515F77861430}"/>
    <w:embedItalic r:id="rIdFont2" w:fontKey="{DE81518F-3A61-4AFB-B6BC-BB9D4DD5FA8E}"/>
    <w:embedBold r:id="rIdFont3" w:fontKey="{DD9DEDB0-3B72-46D5-99BB-CB069E5F58A1}"/>
  </w:font>
  <w:font w:name="Montserrat ExtraBold">
    <w:charset w:val="00"/>
    <w:family w:val="auto"/>
    <w:pitch w:val="variable"/>
    <w:embedRegular r:id="rIdFont4" w:fontKey="{C91FAFD1-6EE7-4FD3-B659-CD4543DC23D6}"/>
  </w:font>
  <w:font w:name="Montserrat Medium">
    <w:charset w:val="00"/>
    <w:family w:val="auto"/>
    <w:pitch w:val="variable"/>
    <w:embedRegular r:id="rIdFont5" w:fontKey="{74FF1374-3D55-4319-A1AA-1CCA7639BC31}"/>
    <w:embedItalic r:id="rIdFont6" w:fontKey="{2392B86E-E96C-4812-98F7-EF2FA51E94FC}"/>
  </w:font>
  <w:font w:name="Montserrat SemiBold">
    <w:charset w:val="00"/>
    <w:family w:val="auto"/>
    <w:pitch w:val="variable"/>
    <w:embedRegular r:id="rIdFont7" w:fontKey="{05ED5D85-C39F-4BA1-A9D5-262EF432011B}"/>
    <w:embedItalic r:id="rIdFont8" w:fontKey="{CB6C79DA-09CB-4CF9-B1D6-B7FCAE9FFAF0}"/>
  </w:font>
  <w:font w:name="Orbitron">
    <w:charset w:val="00"/>
    <w:family w:val="auto"/>
    <w:pitch w:val="variable"/>
    <w:embedBold r:id="rIdFont9" w:fontKey="{D130D85C-5DDB-4814-B841-E250A038B3B5}"/>
  </w:font>
  <w:font w:name="Orbitron Black">
    <w:charset w:val="00"/>
    <w:family w:val="auto"/>
    <w:pitch w:val="variable"/>
    <w:embedRegular r:id="rIdFont10" w:fontKey="{16CA8E30-2894-44DE-AAF3-98EFB331509A}"/>
  </w:font>
  <w:font w:name="Orbitron ExtraBold">
    <w:charset w:val="00"/>
    <w:family w:val="auto"/>
    <w:pitch w:val="variable"/>
    <w:embedRegular r:id="rIdFont11" w:fontKey="{3BF70C0B-B888-4FB7-AD3E-966F202E9E7C}"/>
  </w:font>
  <w:font w:name="Orbitron Medium">
    <w:charset w:val="00"/>
    <w:family w:val="auto"/>
    <w:pitch w:val="variable"/>
    <w:embedRegular r:id="rIdFont12" w:fontKey="{C5242B20-18ED-4F72-A87E-87D64EA20ED5}"/>
  </w:font>
  <w:font w:name="Roboto Mono">
    <w:charset w:val="00"/>
    <w:family w:val="auto"/>
    <w:pitch w:val="variable"/>
    <w:embedRegular r:id="rIdFont13" w:fontKey="{7B1EFC58-ADE7-4198-ABA6-AC63EE4EF80E}"/>
    <w:embedBold r:id="rIdFont14" w:fontKey="{6B4EE7ED-4F37-4A62-904F-1463D7A7AFA1}"/>
  </w:font>
  <w:font w:name="Roboto Mono Medium">
    <w:charset w:val="00"/>
    <w:family w:val="auto"/>
    <w:pitch w:val="variable"/>
    <w:embedRegular r:id="rIdFont15" w:fontKey="{E4FDEEB2-3378-442C-9FD0-5F65D9837C36}"/>
    <w:embedItalic r:id="rIdFont16" w:fontKey="{9A6DF049-93FC-4AC9-A4F1-6DB23EB486C7}"/>
  </w:font>
  <w:font w:name="Roboto Mono SemiBold">
    <w:charset w:val="00"/>
    <w:family w:val="auto"/>
    <w:pitch w:val="variable"/>
    <w:embedRegular r:id="rIdFont17" w:fontKey="{006656AE-59C8-4677-8DCA-4B481489B5A6}"/>
    <w:embedItalic r:id="rIdFont18" w:fontKey="{B5578923-4C11-43AF-A895-18FA3FB984C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CoQ-PP_26-029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