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CoQ-PP_26-043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733"/>
        <w:gridCol w:w="524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33"/>
            <w:shd w:val="clear" w:color="auto" w:fill="FFFFFF"/>
          </w:tcPr>
          <w:tbl>
            <w:tblPr>
              <w:tblW w:w="173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3"/>
            </w:tblGrid>
            <w:tr>
              <w:trPr>
                <w:trHeight w:val="195" w:hRule="exact"/>
              </w:trPr>
              <w:tc>
                <w:tcPr>
                  <w:tcW w:type="dxa" w:w="173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3"/>
            </w:tblGrid>
            <w:tr>
              <w:trPr>
                <w:trHeight w:val="435" w:hRule="exact"/>
              </w:trPr>
              <w:tc>
                <w:tcPr>
                  <w:tcW w:type="dxa" w:w="1733"/>
                </w:tcPr>
                <w:tbl>
                  <w:tblPr>
                    <w:tblW w:w="17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3"/>
                      </w:tcPr>
                      <w:tbl>
                        <w:tblPr>
                          <w:tblW w:w="173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22.30 %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4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(21.60 – 26.39 %)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22.30 %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0.10 %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7.64 %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0.004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iCoA-PP_26-041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10/0013/26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86/2026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33189" cy="5571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533189" cy="5571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67383" cy="55124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467383" cy="55124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E60C97F-6026-4ECF-A5EF-D02D918C4125}"/>
    <w:embedItalic r:id="rIdFont2" w:fontKey="{027DAE02-AB17-43DC-B2C7-923A8FA86682}"/>
    <w:embedBold r:id="rIdFont3" w:fontKey="{D311EC3D-417F-4E06-83F3-A3291B0D8865}"/>
  </w:font>
  <w:font w:name="Montserrat ExtraBold">
    <w:charset w:val="00"/>
    <w:family w:val="auto"/>
    <w:pitch w:val="variable"/>
    <w:embedRegular r:id="rIdFont4" w:fontKey="{18553DF5-183C-413D-97BF-4AA45AC93A89}"/>
  </w:font>
  <w:font w:name="Montserrat Medium">
    <w:charset w:val="00"/>
    <w:family w:val="auto"/>
    <w:pitch w:val="variable"/>
    <w:embedRegular r:id="rIdFont5" w:fontKey="{0B3A2707-E62C-4461-B3A5-D4A28CFF07F3}"/>
    <w:embedItalic r:id="rIdFont6" w:fontKey="{BE813E4B-0ABD-4EEF-BC3B-6C5BCBCE1307}"/>
  </w:font>
  <w:font w:name="Montserrat SemiBold">
    <w:charset w:val="00"/>
    <w:family w:val="auto"/>
    <w:pitch w:val="variable"/>
    <w:embedRegular r:id="rIdFont7" w:fontKey="{69EE1F0B-F236-4D43-A534-43A5F618E5C6}"/>
    <w:embedItalic r:id="rIdFont8" w:fontKey="{A43F9B32-DA48-4392-9466-BF90E59A888C}"/>
  </w:font>
  <w:font w:name="Orbitron">
    <w:charset w:val="00"/>
    <w:family w:val="auto"/>
    <w:pitch w:val="variable"/>
    <w:embedBold r:id="rIdFont9" w:fontKey="{C034C433-6601-41B4-A16A-B81F2C1ABF8D}"/>
  </w:font>
  <w:font w:name="Orbitron Black">
    <w:charset w:val="00"/>
    <w:family w:val="auto"/>
    <w:pitch w:val="variable"/>
    <w:embedRegular r:id="rIdFont10" w:fontKey="{A8664630-EDDE-4C2D-84E5-BB37E873F262}"/>
  </w:font>
  <w:font w:name="Orbitron ExtraBold">
    <w:charset w:val="00"/>
    <w:family w:val="auto"/>
    <w:pitch w:val="variable"/>
    <w:embedRegular r:id="rIdFont11" w:fontKey="{EE177FF4-A3B5-45FE-B347-1651A498766B}"/>
  </w:font>
  <w:font w:name="Orbitron Medium">
    <w:charset w:val="00"/>
    <w:family w:val="auto"/>
    <w:pitch w:val="variable"/>
    <w:embedRegular r:id="rIdFont12" w:fontKey="{B09E95AB-FD32-4506-9F3F-901502190A04}"/>
  </w:font>
  <w:font w:name="Roboto Mono">
    <w:charset w:val="00"/>
    <w:family w:val="auto"/>
    <w:pitch w:val="variable"/>
    <w:embedRegular r:id="rIdFont13" w:fontKey="{2C0D38F6-2EEA-476E-989C-32E87A2028A8}"/>
    <w:embedBold r:id="rIdFont14" w:fontKey="{C2EC256E-23B5-4CFE-B1A4-C3C016644B4D}"/>
  </w:font>
  <w:font w:name="Roboto Mono Medium">
    <w:charset w:val="00"/>
    <w:family w:val="auto"/>
    <w:pitch w:val="variable"/>
    <w:embedRegular r:id="rIdFont15" w:fontKey="{BAC0D7DC-3CC6-4090-B338-1DCBE9F9E6CC}"/>
    <w:embedItalic r:id="rIdFont16" w:fontKey="{727DA04E-03A2-4C2F-82D3-6E525B6A6FE9}"/>
  </w:font>
  <w:font w:name="Roboto Mono SemiBold">
    <w:charset w:val="00"/>
    <w:family w:val="auto"/>
    <w:pitch w:val="variable"/>
    <w:embedRegular r:id="rIdFont17" w:fontKey="{C15DD7AA-5DC4-42DB-8415-D67CAA77A33E}"/>
    <w:embedItalic r:id="rIdFont18" w:fontKey="{EB928FEA-1873-4B75-816A-5B5009E08B4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CoQ-PP_26-043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