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CoQ-PP_26-048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988"/>
        <w:gridCol w:w="26"/>
        <w:gridCol w:w="1424"/>
        <w:gridCol w:w="389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988"/>
            <w:shd w:val="clear" w:color="auto" w:fill="FFFFFF"/>
          </w:tcPr>
          <w:tbl>
            <w:tblPr>
              <w:tblW w:w="598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88"/>
            </w:tblGrid>
            <w:tr>
              <w:trPr>
                <w:trHeight w:val="180" w:hRule="exact"/>
              </w:trPr>
              <w:tc>
                <w:tcPr>
                  <w:tcW w:type="dxa" w:w="598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16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165"/>
                </w:tcPr>
                <w:tbl>
                  <w:tblPr>
                    <w:tblW w:w="416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16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16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Amnesia Core Cut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4"/>
            <w:shd w:val="clear" w:color="auto" w:fill="FFFFFF"/>
          </w:tcPr>
          <w:tbl>
            <w:tblPr>
              <w:tblW w:w="142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4"/>
            </w:tblGrid>
            <w:tr>
              <w:trPr>
                <w:trHeight w:val="195" w:hRule="exact"/>
              </w:trPr>
              <w:tc>
                <w:tcPr>
                  <w:tcW w:type="dxa" w:w="142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4"/>
            </w:tblGrid>
            <w:tr>
              <w:trPr>
                <w:trHeight w:val="435" w:hRule="exact"/>
              </w:trPr>
              <w:tc>
                <w:tcPr>
                  <w:tcW w:type="dxa" w:w="1424"/>
                </w:tcPr>
                <w:tbl>
                  <w:tblPr>
                    <w:tblW w:w="14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4"/>
                      </w:tcPr>
                      <w:tbl>
                        <w:tblPr>
                          <w:tblW w:w="14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12.91 %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9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2"/>
        <w:gridCol w:w="2122"/>
        <w:gridCol w:w="1379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ACC_THC12:CBD1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(10.80 – 13.19 %)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QCSP_001_ACC-I_v.01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12.91 %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2.3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iCoA-PP_26-046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77/0120/26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09.02.2026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326/2026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11.02.2026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031-5-К/26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10.02.2026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031-5-ГС/26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8580" cy="55298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78580" cy="55298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8826" cy="55977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78826" cy="55977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C68C5B3-BC81-43F1-920E-304941880A09}"/>
    <w:embedItalic r:id="rIdFont2" w:fontKey="{F202338F-98BE-490F-BC9D-3CC559C71F56}"/>
    <w:embedBold r:id="rIdFont3" w:fontKey="{79DDEB76-7921-4A59-B09D-B1272574C04C}"/>
  </w:font>
  <w:font w:name="Montserrat ExtraBold">
    <w:charset w:val="00"/>
    <w:family w:val="auto"/>
    <w:pitch w:val="variable"/>
    <w:embedRegular r:id="rIdFont4" w:fontKey="{E047480E-2914-48E6-9A32-4E108FAA1F9B}"/>
  </w:font>
  <w:font w:name="Montserrat Medium">
    <w:charset w:val="00"/>
    <w:family w:val="auto"/>
    <w:pitch w:val="variable"/>
    <w:embedRegular r:id="rIdFont5" w:fontKey="{CA7C098B-CA3B-4EA1-AAC6-3E501BFBD4BB}"/>
    <w:embedItalic r:id="rIdFont6" w:fontKey="{9443A12A-53D9-4291-B3EF-485F09509900}"/>
  </w:font>
  <w:font w:name="Montserrat SemiBold">
    <w:charset w:val="00"/>
    <w:family w:val="auto"/>
    <w:pitch w:val="variable"/>
    <w:embedRegular r:id="rIdFont7" w:fontKey="{924A66D1-89D5-4161-88CB-9FBA0014172D}"/>
    <w:embedItalic r:id="rIdFont8" w:fontKey="{477DF7A3-9E11-4508-87F1-1EFB049BA933}"/>
  </w:font>
  <w:font w:name="Orbitron">
    <w:charset w:val="00"/>
    <w:family w:val="auto"/>
    <w:pitch w:val="variable"/>
    <w:embedBold r:id="rIdFont9" w:fontKey="{EE994443-8544-43F6-BA79-696D8D7AF33C}"/>
  </w:font>
  <w:font w:name="Orbitron Black">
    <w:charset w:val="00"/>
    <w:family w:val="auto"/>
    <w:pitch w:val="variable"/>
    <w:embedRegular r:id="rIdFont10" w:fontKey="{86643196-EA00-414A-87D4-728B74AA68FC}"/>
  </w:font>
  <w:font w:name="Orbitron ExtraBold">
    <w:charset w:val="00"/>
    <w:family w:val="auto"/>
    <w:pitch w:val="variable"/>
    <w:embedRegular r:id="rIdFont11" w:fontKey="{A459A999-D257-4B74-85A5-18AF2B191E7A}"/>
  </w:font>
  <w:font w:name="Orbitron Medium">
    <w:charset w:val="00"/>
    <w:family w:val="auto"/>
    <w:pitch w:val="variable"/>
    <w:embedRegular r:id="rIdFont12" w:fontKey="{734EAA6B-023D-4DB6-80DE-EA80CFD6D778}"/>
  </w:font>
  <w:font w:name="Roboto Mono">
    <w:charset w:val="00"/>
    <w:family w:val="auto"/>
    <w:pitch w:val="variable"/>
    <w:embedRegular r:id="rIdFont13" w:fontKey="{06183357-0233-449C-820E-7F63A5D03402}"/>
    <w:embedBold r:id="rIdFont14" w:fontKey="{FA350895-68A9-4931-B0CB-84BA3A30EEFF}"/>
  </w:font>
  <w:font w:name="Roboto Mono Medium">
    <w:charset w:val="00"/>
    <w:family w:val="auto"/>
    <w:pitch w:val="variable"/>
    <w:embedRegular r:id="rIdFont15" w:fontKey="{52C1D976-6943-415E-A208-9FADB5E082A5}"/>
    <w:embedItalic r:id="rIdFont16" w:fontKey="{1A7ECA64-2736-43C5-9AA1-DC8D5F7F3AF5}"/>
  </w:font>
  <w:font w:name="Roboto Mono SemiBold">
    <w:charset w:val="00"/>
    <w:family w:val="auto"/>
    <w:pitch w:val="variable"/>
    <w:embedRegular r:id="rIdFont17" w:fontKey="{28532F4A-49D1-4787-BE68-CF1084E92CB8}"/>
    <w:embedItalic r:id="rIdFont18" w:fontKey="{C2C66678-917C-409C-BF04-ADBE1F481B7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CoQ-PP_26-048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