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83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723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660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65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CoQ-PP_26-056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06.06.2026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568"/>
        <w:gridCol w:w="54"/>
        <w:gridCol w:w="1674"/>
        <w:gridCol w:w="5034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4568"/>
            <w:shd w:val="clear" w:color="auto" w:fill="FFFFFF"/>
          </w:tcPr>
          <w:tbl>
            <w:tblPr>
              <w:tblW w:w="456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568"/>
            </w:tblGrid>
            <w:tr>
              <w:trPr>
                <w:trHeight w:val="180" w:hRule="exact"/>
              </w:trPr>
              <w:tc>
                <w:tcPr>
                  <w:tcW w:type="dxa" w:w="456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52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79"/>
              <w:gridCol w:w="35"/>
              <w:gridCol w:w="125"/>
              <w:gridCol w:w="71"/>
              <w:gridCol w:w="2313"/>
            </w:tblGrid>
            <w:tr>
              <w:trPr>
                <w:trHeight w:val="450" w:hRule="exact"/>
              </w:trPr>
              <w:tc>
                <w:tcPr>
                  <w:tcW w:type="dxa" w:w="1979"/>
                </w:tcPr>
                <w:tbl>
                  <w:tblPr>
                    <w:tblW w:w="197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79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97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J31112501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13"/>
                </w:tcPr>
                <w:tbl>
                  <w:tblPr>
                    <w:tblW w:w="231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13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231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Jokerz 31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4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674"/>
            <w:shd w:val="clear" w:color="auto" w:fill="FFFFFF"/>
          </w:tcPr>
          <w:tbl>
            <w:tblPr>
              <w:tblW w:w="167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74"/>
            </w:tblGrid>
            <w:tr>
              <w:trPr>
                <w:trHeight w:val="195" w:hRule="exact"/>
              </w:trPr>
              <w:tc>
                <w:tcPr>
                  <w:tcW w:type="dxa" w:w="167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7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74"/>
            </w:tblGrid>
            <w:tr>
              <w:trPr>
                <w:trHeight w:val="435" w:hRule="exact"/>
              </w:trPr>
              <w:tc>
                <w:tcPr>
                  <w:tcW w:type="dxa" w:w="1674"/>
                </w:tcPr>
                <w:tbl>
                  <w:tblPr>
                    <w:tblW w:w="167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74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674"/>
                      </w:tcPr>
                      <w:tbl>
                        <w:tblPr>
                          <w:tblW w:w="167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74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67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25.27 %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034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310"/>
        <w:gridCol w:w="157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5310"/>
            <w:shd w:val="clear" w:color="auto" w:fill="FFFFFF"/>
          </w:tcPr>
          <w:tbl>
            <w:tblPr>
              <w:tblW w:w="531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310"/>
            </w:tblGrid>
            <w:tr>
              <w:trPr>
                <w:trHeight w:val="105" w:hRule="exact"/>
              </w:trPr>
              <w:tc>
                <w:tcPr>
                  <w:tcW w:type="dxa" w:w="531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24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2361"/>
              <w:gridCol w:w="52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1"/>
                </w:tcPr>
                <w:tbl>
                  <w:tblPr>
                    <w:tblW w:w="2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1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2361"/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4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4"/>
                            <w:shd w:val="clear" w:color="auto" w:fill="7E96AC"/>
                          </w:rPr>
                          <w:t>INDICA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D98A"/>
                            <w:sz w:val="11"/>
                            <w:spacing w:val="4"/>
                            <w:shd w:val="clear" w:color="auto" w:fill="7E96AC"/>
                          </w:rPr>
                          <w:t>70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4"/>
                            <w:shd w:val="clear" w:color="auto" w:fill="7E96AC"/>
                          </w:rPr>
                          <w:t xml:space="preserve"> : SATIVA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D98A"/>
                            <w:sz w:val="11"/>
                            <w:spacing w:val="4"/>
                            <w:shd w:val="clear" w:color="auto" w:fill="7E96AC"/>
                          </w:rPr>
                          <w:t>30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7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462"/>
        <w:gridCol w:w="1372"/>
        <w:gridCol w:w="2122"/>
        <w:gridCol w:w="1379"/>
        <w:gridCol w:w="3525"/>
        <w:gridCol w:w="470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462"/>
            <w:shd w:val="clear" w:color="auto" w:fill="FFFEFC"/>
          </w:tcPr>
          <w:tbl>
            <w:tblPr>
              <w:tblW w:w="246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62"/>
            </w:tblGrid>
            <w:tr>
              <w:trPr>
                <w:trHeight w:val="104" w:hRule="exact"/>
              </w:trPr>
              <w:tc>
                <w:tcPr>
                  <w:tcW w:type="dxa" w:w="246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3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314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14"/>
                </w:tcPr>
                <w:tbl>
                  <w:tblPr>
                    <w:tblW w:w="131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14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31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31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14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1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J31_THC26:CBD1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372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26.00%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1.80%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(24.20 – 27.79 %)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379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525"/>
            <w:shd w:val="clear" w:color="auto" w:fill="FFFEFC"/>
          </w:tcPr>
          <w:tbl>
            <w:tblPr>
              <w:tblW w:w="35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25"/>
            </w:tblGrid>
            <w:tr>
              <w:trPr>
                <w:trHeight w:val="104" w:hRule="exact"/>
              </w:trPr>
              <w:tc>
                <w:tcPr>
                  <w:tcW w:type="dxa" w:w="352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48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578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78"/>
                </w:tcPr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57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5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QCSP_001_J31-I_v.01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0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501"/>
        <w:gridCol w:w="469"/>
        <w:gridCol w:w="1642"/>
        <w:gridCol w:w="486"/>
        <w:gridCol w:w="1391"/>
        <w:gridCol w:w="491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501"/>
            <w:shd w:val="clear" w:color="auto" w:fill="FFFEFC"/>
          </w:tcPr>
          <w:tbl>
            <w:tblPr>
              <w:tblW w:w="250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501"/>
            </w:tblGrid>
            <w:tr>
              <w:trPr>
                <w:trHeight w:val="76" w:hRule="exact"/>
              </w:trPr>
              <w:tc>
                <w:tcPr>
                  <w:tcW w:type="dxa" w:w="250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858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58"/>
                </w:tcPr>
                <w:tbl>
                  <w:tblPr>
                    <w:tblW w:w="85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58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85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85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58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85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J31112501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9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642"/>
            <w:shd w:val="clear" w:color="auto" w:fill="FFFEFC"/>
          </w:tcPr>
          <w:tbl>
            <w:tblPr>
              <w:tblW w:w="16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2"/>
            </w:tblGrid>
            <w:tr>
              <w:trPr>
                <w:trHeight w:val="76" w:hRule="exact"/>
              </w:trPr>
              <w:tc>
                <w:tcPr>
                  <w:tcW w:type="dxa" w:w="164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1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119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19"/>
                </w:tcPr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1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1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8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391"/>
            <w:shd w:val="clear" w:color="auto" w:fill="FFFEFC"/>
          </w:tcPr>
          <w:tbl>
            <w:tblPr>
              <w:tblW w:w="13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391"/>
            </w:tblGrid>
            <w:tr>
              <w:trPr>
                <w:trHeight w:val="76" w:hRule="exact"/>
              </w:trPr>
              <w:tc>
                <w:tcPr>
                  <w:tcW w:type="dxa" w:w="139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36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119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19"/>
                </w:tcPr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1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1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1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25.27 %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8.4 %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1.8 × 10³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1.3 × 10³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  <w:spacing w:val="-4"/>
              </w:rPr>
              <w:t>&lt; 10² and &gt; 10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2.1 µg/kg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6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iCoA-PP_26-054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03.06.2026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131/0228/26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06.03.2026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1057/2026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09.03.2026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9, 10, 11, 12</w:t>
            </w:r>
          </w:p>
        </w:tc>
      </w:tr>
      <w:tr>
        <w:trPr>
          <w:trHeight w:val="418" w:hRule="exact"/>
        </w:trPr>
        <w:tc>
          <w:tcPr>
            <w:tcW w:type="dxa" w:w="5605"/>
            <w:shd w:val="clear" w:color="auto" w:fill="9EACBA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Farmahem DOOEL — Laboratory for Instrumental Analysis · ISO/IEC 17025:2017 </w:t>
            </w:r>
          </w:p>
          <w:p>
            <w:pPr>
              <w:tabs>
                <w:tab w:val="left" w:pos="3245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LT-020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  <w:p>
            <w:pPr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</w:tc>
        <w:tc>
          <w:tcPr>
            <w:tcW w:type="dxa" w:w="3720"/>
            <w:shd w:val="clear" w:color="auto" w:fill="9EACBA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051-5-К/26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04.03.2026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051-5-ГС/26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02.03.2026</w:t>
            </w:r>
          </w:p>
        </w:tc>
        <w:tc>
          <w:tcPr>
            <w:tcW w:type="dxa" w:w="2580"/>
            <w:shd w:val="clear" w:color="auto" w:fill="9EACBA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8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3, 4, 5, 6, 8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J31112501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72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72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91639" cy="553986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62800">
                                              <a:off x="0" y="0"/>
                                              <a:ext cx="491639" cy="553986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80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80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568355" cy="558898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262200">
                                              <a:off x="0" y="0"/>
                                              <a:ext cx="568355" cy="558898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331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MK GMP Certified Facility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08E7F4E1-DD41-4A0F-BC1E-969C581C2AF8}"/>
    <w:embedItalic r:id="rIdFont2" w:fontKey="{97A3FD18-2553-4B60-ACD4-B1A5BBB16EB0}"/>
    <w:embedBold r:id="rIdFont3" w:fontKey="{2ECACD38-1D24-4715-8419-7E095C0EB97A}"/>
  </w:font>
  <w:font w:name="Montserrat ExtraBold">
    <w:charset w:val="00"/>
    <w:family w:val="auto"/>
    <w:pitch w:val="variable"/>
    <w:embedRegular r:id="rIdFont4" w:fontKey="{49A13EA9-363D-448A-8170-977CC6C6B745}"/>
  </w:font>
  <w:font w:name="Montserrat Medium">
    <w:charset w:val="00"/>
    <w:family w:val="auto"/>
    <w:pitch w:val="variable"/>
    <w:embedRegular r:id="rIdFont5" w:fontKey="{D49DFE2A-810E-4BCE-9BB6-A10CA656B6D2}"/>
    <w:embedItalic r:id="rIdFont6" w:fontKey="{C3293505-0CCA-46C5-9264-EDC1ABDD163D}"/>
  </w:font>
  <w:font w:name="Montserrat SemiBold">
    <w:charset w:val="00"/>
    <w:family w:val="auto"/>
    <w:pitch w:val="variable"/>
    <w:embedRegular r:id="rIdFont7" w:fontKey="{821F38E9-60CE-49FE-B128-258CE55600C9}"/>
    <w:embedItalic r:id="rIdFont8" w:fontKey="{556F6F3E-E0E1-4FAF-96E3-7C30AB5E93CE}"/>
  </w:font>
  <w:font w:name="Orbitron">
    <w:charset w:val="00"/>
    <w:family w:val="auto"/>
    <w:pitch w:val="variable"/>
    <w:embedBold r:id="rIdFont9" w:fontKey="{65D268E9-7519-481F-9DAD-64C2993A5024}"/>
  </w:font>
  <w:font w:name="Orbitron Black">
    <w:charset w:val="00"/>
    <w:family w:val="auto"/>
    <w:pitch w:val="variable"/>
    <w:embedRegular r:id="rIdFont10" w:fontKey="{414EAA9A-E54E-422B-9AAA-E351761084BC}"/>
  </w:font>
  <w:font w:name="Orbitron ExtraBold">
    <w:charset w:val="00"/>
    <w:family w:val="auto"/>
    <w:pitch w:val="variable"/>
    <w:embedRegular r:id="rIdFont11" w:fontKey="{98AB8F1A-E8AC-4C74-89BA-309B29393B58}"/>
  </w:font>
  <w:font w:name="Orbitron Medium">
    <w:charset w:val="00"/>
    <w:family w:val="auto"/>
    <w:pitch w:val="variable"/>
    <w:embedRegular r:id="rIdFont12" w:fontKey="{B9AC5FCE-A10E-45B7-8627-CCD5E86DE06E}"/>
  </w:font>
  <w:font w:name="Roboto Mono">
    <w:charset w:val="00"/>
    <w:family w:val="auto"/>
    <w:pitch w:val="variable"/>
    <w:embedRegular r:id="rIdFont13" w:fontKey="{723EEC88-3C67-458D-98AB-8D2D0528E62E}"/>
    <w:embedBold r:id="rIdFont14" w:fontKey="{E2E0C07F-4F49-44F2-897F-1BAE919066DC}"/>
  </w:font>
  <w:font w:name="Roboto Mono Medium">
    <w:charset w:val="00"/>
    <w:family w:val="auto"/>
    <w:pitch w:val="variable"/>
    <w:embedRegular r:id="rIdFont15" w:fontKey="{1C180B0D-261E-4C52-B8B2-81434B13DCAD}"/>
    <w:embedItalic r:id="rIdFont16" w:fontKey="{F15F31B9-BEB6-4C15-A4D8-1D026942752D}"/>
  </w:font>
  <w:font w:name="Roboto Mono SemiBold">
    <w:charset w:val="00"/>
    <w:family w:val="auto"/>
    <w:pitch w:val="variable"/>
    <w:embedRegular r:id="rIdFont17" w:fontKey="{D9CE0686-543B-4B26-B285-61F7FD47D0E7}"/>
    <w:embedItalic r:id="rIdFont18" w:fontKey="{5F8467CE-92D7-48C2-B708-E88833375040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CoQ-PP_26-056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