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CoQ-PP_26-063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394"/>
        <w:gridCol w:w="57"/>
        <w:gridCol w:w="1576"/>
        <w:gridCol w:w="530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394"/>
            <w:shd w:val="clear" w:color="auto" w:fill="FFFFFF"/>
          </w:tcPr>
          <w:tbl>
            <w:tblPr>
              <w:tblW w:w="439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394"/>
            </w:tblGrid>
            <w:tr>
              <w:trPr>
                <w:trHeight w:val="180" w:hRule="exact"/>
              </w:trPr>
              <w:tc>
                <w:tcPr>
                  <w:tcW w:type="dxa" w:w="439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3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64"/>
              <w:gridCol w:w="39"/>
              <w:gridCol w:w="125"/>
              <w:gridCol w:w="71"/>
              <w:gridCol w:w="2355"/>
            </w:tblGrid>
            <w:tr>
              <w:trPr>
                <w:trHeight w:val="450" w:hRule="exact"/>
              </w:trPr>
              <w:tc>
                <w:tcPr>
                  <w:tcW w:type="dxa" w:w="1764"/>
                </w:tcPr>
                <w:tbl>
                  <w:tblPr>
                    <w:tblW w:w="176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64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76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CC112501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55"/>
                </w:tcPr>
                <w:tbl>
                  <w:tblPr>
                    <w:tblW w:w="235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5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35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Cash Cow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576"/>
            <w:shd w:val="clear" w:color="auto" w:fill="FFFFFF"/>
          </w:tcPr>
          <w:tbl>
            <w:tblPr>
              <w:tblW w:w="15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6"/>
            </w:tblGrid>
            <w:tr>
              <w:trPr>
                <w:trHeight w:val="195" w:hRule="exact"/>
              </w:trPr>
              <w:tc>
                <w:tcPr>
                  <w:tcW w:type="dxa" w:w="15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5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76"/>
            </w:tblGrid>
            <w:tr>
              <w:trPr>
                <w:trHeight w:val="435" w:hRule="exact"/>
              </w:trPr>
              <w:tc>
                <w:tcPr>
                  <w:tcW w:type="dxa" w:w="1576"/>
                </w:tcPr>
                <w:tbl>
                  <w:tblPr>
                    <w:tblW w:w="15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6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576"/>
                      </w:tcPr>
                      <w:tbl>
                        <w:tblPr>
                          <w:tblW w:w="157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76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57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13.35 %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30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10"/>
        <w:gridCol w:w="157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10"/>
            <w:shd w:val="clear" w:color="auto" w:fill="FFFFFF"/>
          </w:tcPr>
          <w:tbl>
            <w:tblPr>
              <w:tblW w:w="53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10"/>
            </w:tblGrid>
            <w:tr>
              <w:trPr>
                <w:trHeight w:val="105" w:hRule="exact"/>
              </w:trPr>
              <w:tc>
                <w:tcPr>
                  <w:tcW w:type="dxa" w:w="53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4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61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1"/>
                </w:tcPr>
                <w:tbl>
                  <w:tblPr>
                    <w:tblW w:w="2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1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61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70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30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CC_THC14:CBD1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1.35%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(12.65 – 15.34 %)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QCSP_001_CC-II_v.01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410"/>
        <w:gridCol w:w="501"/>
        <w:gridCol w:w="1642"/>
        <w:gridCol w:w="516"/>
        <w:gridCol w:w="1391"/>
        <w:gridCol w:w="520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410"/>
            <w:shd w:val="clear" w:color="auto" w:fill="FFFEFC"/>
          </w:tcPr>
          <w:tbl>
            <w:tblPr>
              <w:tblW w:w="241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10"/>
            </w:tblGrid>
            <w:tr>
              <w:trPr>
                <w:trHeight w:val="76" w:hRule="exact"/>
              </w:trPr>
              <w:tc>
                <w:tcPr>
                  <w:tcW w:type="dxa" w:w="241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767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67"/>
                </w:tcPr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76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6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67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76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CC112501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01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642"/>
            <w:shd w:val="clear" w:color="auto" w:fill="FFFEFC"/>
          </w:tcPr>
          <w:tbl>
            <w:tblPr>
              <w:tblW w:w="16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2"/>
            </w:tblGrid>
            <w:tr>
              <w:trPr>
                <w:trHeight w:val="76" w:hRule="exact"/>
              </w:trPr>
              <w:tc>
                <w:tcPr>
                  <w:tcW w:type="dxa" w:w="164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1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1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391"/>
            <w:shd w:val="clear" w:color="auto" w:fill="FFFEFC"/>
          </w:tcPr>
          <w:tbl>
            <w:tblPr>
              <w:tblW w:w="13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91"/>
            </w:tblGrid>
            <w:tr>
              <w:trPr>
                <w:trHeight w:val="76" w:hRule="exact"/>
              </w:trPr>
              <w:tc>
                <w:tcPr>
                  <w:tcW w:type="dxa" w:w="139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36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119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19"/>
                </w:tcPr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1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9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1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0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13.35 %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7.39 %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2.7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0.0289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0.0119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0.016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0.0102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iCoA-PP_26-061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ППК26068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11.05.2026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311/0555/26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28.04.2026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2359/2026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29.04.2026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CC112501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8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8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72151" cy="560233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3400">
                                              <a:off x="0" y="0"/>
                                              <a:ext cx="572151" cy="560233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5120" cy="54642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405120" cy="54642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03CF817-B901-4677-8D4E-ACA03083E9A9}"/>
    <w:embedItalic r:id="rIdFont2" w:fontKey="{C8A1AC90-4224-4B1E-839D-B4BB975BCDDE}"/>
    <w:embedBold r:id="rIdFont3" w:fontKey="{B0FFF4A6-490C-4732-8013-2BEDA846AF0C}"/>
  </w:font>
  <w:font w:name="Montserrat ExtraBold">
    <w:charset w:val="00"/>
    <w:family w:val="auto"/>
    <w:pitch w:val="variable"/>
    <w:embedRegular r:id="rIdFont4" w:fontKey="{F9A374FB-47A0-4519-84F0-F41A3CBBA3E7}"/>
  </w:font>
  <w:font w:name="Montserrat Medium">
    <w:charset w:val="00"/>
    <w:family w:val="auto"/>
    <w:pitch w:val="variable"/>
    <w:embedRegular r:id="rIdFont5" w:fontKey="{B84F93B9-26E7-4F6E-A5C3-35FEC9B85954}"/>
    <w:embedItalic r:id="rIdFont6" w:fontKey="{A843D1CC-9FCF-416D-A01D-32E6CBD5AB57}"/>
  </w:font>
  <w:font w:name="Montserrat SemiBold">
    <w:charset w:val="00"/>
    <w:family w:val="auto"/>
    <w:pitch w:val="variable"/>
    <w:embedRegular r:id="rIdFont7" w:fontKey="{883BA710-6DC4-4186-9803-0EB500738507}"/>
    <w:embedItalic r:id="rIdFont8" w:fontKey="{0B1FF4B5-D2EA-4FE9-AA43-BAC9FB63331B}"/>
  </w:font>
  <w:font w:name="Orbitron">
    <w:charset w:val="00"/>
    <w:family w:val="auto"/>
    <w:pitch w:val="variable"/>
    <w:embedBold r:id="rIdFont9" w:fontKey="{3922E191-7143-42F7-9EA7-9ED3AC527F31}"/>
  </w:font>
  <w:font w:name="Orbitron Black">
    <w:charset w:val="00"/>
    <w:family w:val="auto"/>
    <w:pitch w:val="variable"/>
    <w:embedRegular r:id="rIdFont10" w:fontKey="{5C7BD4F6-F017-4DA6-84E7-3D68A706D5D3}"/>
  </w:font>
  <w:font w:name="Orbitron ExtraBold">
    <w:charset w:val="00"/>
    <w:family w:val="auto"/>
    <w:pitch w:val="variable"/>
    <w:embedRegular r:id="rIdFont11" w:fontKey="{43F6AE25-49AE-49A6-904E-BC3653B97080}"/>
  </w:font>
  <w:font w:name="Orbitron Medium">
    <w:charset w:val="00"/>
    <w:family w:val="auto"/>
    <w:pitch w:val="variable"/>
    <w:embedRegular r:id="rIdFont12" w:fontKey="{7336F14D-550E-4251-AF63-BBC22B60607F}"/>
  </w:font>
  <w:font w:name="Roboto Mono">
    <w:charset w:val="00"/>
    <w:family w:val="auto"/>
    <w:pitch w:val="variable"/>
    <w:embedRegular r:id="rIdFont13" w:fontKey="{DD31D07A-1FCB-4EE6-95D6-E2849CE03CB1}"/>
    <w:embedBold r:id="rIdFont14" w:fontKey="{7B1FE983-B1E3-4BE3-B279-5850144CB64A}"/>
  </w:font>
  <w:font w:name="Roboto Mono Medium">
    <w:charset w:val="00"/>
    <w:family w:val="auto"/>
    <w:pitch w:val="variable"/>
    <w:embedRegular r:id="rIdFont15" w:fontKey="{4BA17321-DD9E-4F2A-B7A9-A3A7D66C6A51}"/>
    <w:embedItalic r:id="rIdFont16" w:fontKey="{C09BE602-AE29-486B-B365-A0C5AF1E0B8D}"/>
  </w:font>
  <w:font w:name="Roboto Mono SemiBold">
    <w:charset w:val="00"/>
    <w:family w:val="auto"/>
    <w:pitch w:val="variable"/>
    <w:embedRegular r:id="rIdFont17" w:fontKey="{3683D1F7-F82F-41C1-A502-95FE0AE6A4D5}"/>
    <w:embedItalic r:id="rIdFont18" w:fontKey="{2AE2A55C-C95A-4F40-9A1D-A5F9AAAF203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CoQ-PP_26-063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