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CoQ-PP_26-066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161"/>
        <w:gridCol w:w="42"/>
        <w:gridCol w:w="1578"/>
        <w:gridCol w:w="4549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161"/>
            <w:shd w:val="clear" w:color="auto" w:fill="FFFFFF"/>
          </w:tcPr>
          <w:tbl>
            <w:tblPr>
              <w:tblW w:w="51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61"/>
            </w:tblGrid>
            <w:tr>
              <w:trPr>
                <w:trHeight w:val="180" w:hRule="exact"/>
              </w:trPr>
              <w:tc>
                <w:tcPr>
                  <w:tcW w:type="dxa" w:w="51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1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64"/>
              <w:gridCol w:w="39"/>
              <w:gridCol w:w="125"/>
              <w:gridCol w:w="71"/>
              <w:gridCol w:w="3122"/>
            </w:tblGrid>
            <w:tr>
              <w:trPr>
                <w:trHeight w:val="450" w:hRule="exact"/>
              </w:trPr>
              <w:tc>
                <w:tcPr>
                  <w:tcW w:type="dxa" w:w="1764"/>
                </w:tcPr>
                <w:tbl>
                  <w:tblPr>
                    <w:tblW w:w="176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64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76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GG012601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22"/>
                </w:tcPr>
                <w:tbl>
                  <w:tblPr>
                    <w:tblW w:w="31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22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1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Gorilla Glue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78"/>
            <w:shd w:val="clear" w:color="auto" w:fill="FFFFFF"/>
          </w:tcPr>
          <w:tbl>
            <w:tblPr>
              <w:tblW w:w="15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8"/>
            </w:tblGrid>
            <w:tr>
              <w:trPr>
                <w:trHeight w:val="195" w:hRule="exact"/>
              </w:trPr>
              <w:tc>
                <w:tcPr>
                  <w:tcW w:type="dxa" w:w="15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8"/>
            </w:tblGrid>
            <w:tr>
              <w:trPr>
                <w:trHeight w:val="435" w:hRule="exact"/>
              </w:trPr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78"/>
                      </w:tcPr>
                      <w:tbl>
                        <w:tblPr>
                          <w:tblW w:w="157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78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78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15.35 %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549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GG_THC15:CBD1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15.00%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1.23%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(13.77 – 16.22 %)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QCSP_001_GG-II_v.01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10"/>
        <w:gridCol w:w="501"/>
        <w:gridCol w:w="1642"/>
        <w:gridCol w:w="516"/>
        <w:gridCol w:w="1391"/>
        <w:gridCol w:w="520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10"/>
            <w:shd w:val="clear" w:color="auto" w:fill="FFFEFC"/>
          </w:tcPr>
          <w:tbl>
            <w:tblPr>
              <w:tblW w:w="241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10"/>
            </w:tblGrid>
            <w:tr>
              <w:trPr>
                <w:trHeight w:val="76" w:hRule="exact"/>
              </w:trPr>
              <w:tc>
                <w:tcPr>
                  <w:tcW w:type="dxa" w:w="241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767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67"/>
                </w:tcPr>
                <w:tbl>
                  <w:tblPr>
                    <w:tblW w:w="76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67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76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6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67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76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GG012601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01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1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2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15.35 %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0.06 %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6.13 %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0.0227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0.0179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0.0163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0.031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iCoA-PP_26-064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ППК26062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11.05.2026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310/0554/26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28.04.2026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2364/2026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30.04.2026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GG012601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0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68277" cy="552258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3400">
                                              <a:off x="0" y="0"/>
                                              <a:ext cx="468277" cy="55225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3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94324" cy="560883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2200">
                                              <a:off x="0" y="0"/>
                                              <a:ext cx="594324" cy="560883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412438AA-5FA1-4FEF-A485-E4D208FF1C7A}"/>
    <w:embedItalic r:id="rIdFont2" w:fontKey="{3D42E339-EB50-4984-B231-7272BF60B8BD}"/>
    <w:embedBold r:id="rIdFont3" w:fontKey="{77A65066-C394-422B-8014-D25FA6AF058A}"/>
  </w:font>
  <w:font w:name="Montserrat ExtraBold">
    <w:charset w:val="00"/>
    <w:family w:val="auto"/>
    <w:pitch w:val="variable"/>
    <w:embedRegular r:id="rIdFont4" w:fontKey="{46A91600-133C-44A5-8C84-BFFBCAA6B047}"/>
  </w:font>
  <w:font w:name="Montserrat Medium">
    <w:charset w:val="00"/>
    <w:family w:val="auto"/>
    <w:pitch w:val="variable"/>
    <w:embedRegular r:id="rIdFont5" w:fontKey="{1250ABBF-91B6-41DA-9933-1AC5C41D5EE4}"/>
    <w:embedItalic r:id="rIdFont6" w:fontKey="{C8A1E796-1A84-4D79-B10D-F3AF5F11603C}"/>
  </w:font>
  <w:font w:name="Montserrat SemiBold">
    <w:charset w:val="00"/>
    <w:family w:val="auto"/>
    <w:pitch w:val="variable"/>
    <w:embedRegular r:id="rIdFont7" w:fontKey="{FFD5A5B6-1ECB-4691-A935-4796A6BE2830}"/>
    <w:embedItalic r:id="rIdFont8" w:fontKey="{CFD38498-3937-4BD6-A81C-50EB20D379CB}"/>
  </w:font>
  <w:font w:name="Orbitron">
    <w:charset w:val="00"/>
    <w:family w:val="auto"/>
    <w:pitch w:val="variable"/>
    <w:embedBold r:id="rIdFont9" w:fontKey="{B666D34A-AA4A-429B-8162-98DD8F24A99B}"/>
  </w:font>
  <w:font w:name="Orbitron Black">
    <w:charset w:val="00"/>
    <w:family w:val="auto"/>
    <w:pitch w:val="variable"/>
    <w:embedRegular r:id="rIdFont10" w:fontKey="{080524B6-2AE3-42B7-9252-CBBE05DC2163}"/>
  </w:font>
  <w:font w:name="Orbitron ExtraBold">
    <w:charset w:val="00"/>
    <w:family w:val="auto"/>
    <w:pitch w:val="variable"/>
    <w:embedRegular r:id="rIdFont11" w:fontKey="{FC176C39-E44F-4CA7-BD59-73A0DED706CC}"/>
  </w:font>
  <w:font w:name="Orbitron Medium">
    <w:charset w:val="00"/>
    <w:family w:val="auto"/>
    <w:pitch w:val="variable"/>
    <w:embedRegular r:id="rIdFont12" w:fontKey="{EBD43FEF-2CA4-4B61-BBA5-36F9611C1D9B}"/>
  </w:font>
  <w:font w:name="Roboto Mono">
    <w:charset w:val="00"/>
    <w:family w:val="auto"/>
    <w:pitch w:val="variable"/>
    <w:embedRegular r:id="rIdFont13" w:fontKey="{3D771DF8-91A6-4A60-A283-2FC60054185B}"/>
    <w:embedBold r:id="rIdFont14" w:fontKey="{6D192A69-96F8-40A7-9E27-D1B41E5F1237}"/>
  </w:font>
  <w:font w:name="Roboto Mono Medium">
    <w:charset w:val="00"/>
    <w:family w:val="auto"/>
    <w:pitch w:val="variable"/>
    <w:embedRegular r:id="rIdFont15" w:fontKey="{AD17B3AC-B401-47A1-A34E-8C8C98AFFBFF}"/>
    <w:embedItalic r:id="rIdFont16" w:fontKey="{0EB9C645-3D19-4345-A580-231D30F50A35}"/>
  </w:font>
  <w:font w:name="Roboto Mono SemiBold">
    <w:charset w:val="00"/>
    <w:family w:val="auto"/>
    <w:pitch w:val="variable"/>
    <w:embedRegular r:id="rIdFont17" w:fontKey="{21D4AE50-B2BA-4468-A724-2697761C4FD5}"/>
    <w:embedItalic r:id="rIdFont18" w:fontKey="{2A314244-10C3-4262-A0E7-985C8986681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CoQ-PP_26-066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