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CoQ-PP_26-067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346"/>
        <w:gridCol w:w="38"/>
        <w:gridCol w:w="1422"/>
        <w:gridCol w:w="4523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346"/>
            <w:shd w:val="clear" w:color="auto" w:fill="FFFFFF"/>
          </w:tcPr>
          <w:tbl>
            <w:tblPr>
              <w:tblW w:w="534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346"/>
            </w:tblGrid>
            <w:tr>
              <w:trPr>
                <w:trHeight w:val="180" w:hRule="exact"/>
              </w:trPr>
              <w:tc>
                <w:tcPr>
                  <w:tcW w:type="dxa" w:w="534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64"/>
              <w:gridCol w:w="39"/>
              <w:gridCol w:w="125"/>
              <w:gridCol w:w="71"/>
              <w:gridCol w:w="3307"/>
            </w:tblGrid>
            <w:tr>
              <w:trPr>
                <w:trHeight w:val="450" w:hRule="exact"/>
              </w:trPr>
              <w:tc>
                <w:tcPr>
                  <w:tcW w:type="dxa" w:w="1764"/>
                </w:tcPr>
                <w:tbl>
                  <w:tblPr>
                    <w:tblW w:w="176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64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76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JD012601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307"/>
                </w:tcPr>
                <w:tbl>
                  <w:tblPr>
                    <w:tblW w:w="33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30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3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Jelly Donuts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8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422"/>
            <w:shd w:val="clear" w:color="auto" w:fill="FFFFFF"/>
          </w:tcPr>
          <w:tbl>
            <w:tblPr>
              <w:tblW w:w="14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22"/>
            </w:tblGrid>
            <w:tr>
              <w:trPr>
                <w:trHeight w:val="195" w:hRule="exact"/>
              </w:trPr>
              <w:tc>
                <w:tcPr>
                  <w:tcW w:type="dxa" w:w="14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4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22"/>
            </w:tblGrid>
            <w:tr>
              <w:trPr>
                <w:trHeight w:val="435" w:hRule="exact"/>
              </w:trPr>
              <w:tc>
                <w:tcPr>
                  <w:tcW w:type="dxa" w:w="1422"/>
                </w:tcPr>
                <w:tbl>
                  <w:tblPr>
                    <w:tblW w:w="14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22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422"/>
                      </w:tcPr>
                      <w:tbl>
                        <w:tblPr>
                          <w:tblW w:w="14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422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4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18.16 %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523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322"/>
        <w:gridCol w:w="145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322"/>
            <w:shd w:val="clear" w:color="auto" w:fill="FFFFFF"/>
          </w:tcPr>
          <w:tbl>
            <w:tblPr>
              <w:tblW w:w="53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322"/>
            </w:tblGrid>
            <w:tr>
              <w:trPr>
                <w:trHeight w:val="105" w:hRule="exact"/>
              </w:trPr>
              <w:tc>
                <w:tcPr>
                  <w:tcW w:type="dxa" w:w="53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2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2374"/>
              <w:gridCol w:w="5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4"/>
                </w:tcPr>
                <w:tbl>
                  <w:tblPr>
                    <w:tblW w:w="23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4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2374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>SATIVA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60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 xml:space="preserve"> : INDICA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40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5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18"/>
        <w:gridCol w:w="2122"/>
        <w:gridCol w:w="1423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JD_THC18:CBD1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18.00%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1.80%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(16.20 – 19.79 %)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QCSP_001_JD-II_v.01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10"/>
        <w:gridCol w:w="501"/>
        <w:gridCol w:w="1642"/>
        <w:gridCol w:w="516"/>
        <w:gridCol w:w="1391"/>
        <w:gridCol w:w="520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10"/>
            <w:shd w:val="clear" w:color="auto" w:fill="FFFEFC"/>
          </w:tcPr>
          <w:tbl>
            <w:tblPr>
              <w:tblW w:w="241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10"/>
            </w:tblGrid>
            <w:tr>
              <w:trPr>
                <w:trHeight w:val="76" w:hRule="exact"/>
              </w:trPr>
              <w:tc>
                <w:tcPr>
                  <w:tcW w:type="dxa" w:w="241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767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67"/>
                </w:tcPr>
                <w:tbl>
                  <w:tblPr>
                    <w:tblW w:w="76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67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76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6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67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76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JD012601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01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76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1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391"/>
            <w:shd w:val="clear" w:color="auto" w:fill="FFFEFC"/>
          </w:tcPr>
          <w:tbl>
            <w:tblPr>
              <w:tblW w:w="13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91"/>
            </w:tblGrid>
            <w:tr>
              <w:trPr>
                <w:trHeight w:val="76" w:hRule="exact"/>
              </w:trPr>
              <w:tc>
                <w:tcPr>
                  <w:tcW w:type="dxa" w:w="139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36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20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18.16 %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0.06 %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6.68 %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1.9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2.4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0.0739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0.0166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0.0136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0.0322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iCoA-PP_26-065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ППК26064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11.05.2026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309/0553/26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28.04.2026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2363/2026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30.04.2026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JD012601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8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8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33273" cy="557248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3400">
                                              <a:off x="0" y="0"/>
                                              <a:ext cx="533273" cy="557248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68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68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67298" cy="551175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2200">
                                              <a:off x="0" y="0"/>
                                              <a:ext cx="467298" cy="55117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D23F9E2C-B224-4186-90A9-D611EE2112E1}"/>
    <w:embedItalic r:id="rIdFont2" w:fontKey="{51257E3D-0268-4DDD-970E-681C765408E1}"/>
    <w:embedBold r:id="rIdFont3" w:fontKey="{4918609F-7D4C-49ED-A69D-4E7A8E4D7237}"/>
  </w:font>
  <w:font w:name="Montserrat ExtraBold">
    <w:charset w:val="00"/>
    <w:family w:val="auto"/>
    <w:pitch w:val="variable"/>
    <w:embedRegular r:id="rIdFont4" w:fontKey="{D4E116B7-141E-4056-973F-DA5DE0590110}"/>
  </w:font>
  <w:font w:name="Montserrat Medium">
    <w:charset w:val="00"/>
    <w:family w:val="auto"/>
    <w:pitch w:val="variable"/>
    <w:embedRegular r:id="rIdFont5" w:fontKey="{ADC8E1E6-2775-4F21-B843-A2285EE1CCEF}"/>
    <w:embedItalic r:id="rIdFont6" w:fontKey="{E6892207-B0FD-4207-BB23-C419A3E267EA}"/>
  </w:font>
  <w:font w:name="Montserrat SemiBold">
    <w:charset w:val="00"/>
    <w:family w:val="auto"/>
    <w:pitch w:val="variable"/>
    <w:embedRegular r:id="rIdFont7" w:fontKey="{7CABF38E-68A3-41DC-A6A9-FAA9EBB64355}"/>
    <w:embedItalic r:id="rIdFont8" w:fontKey="{E1833E3C-301F-48BA-8296-926BDAAE6965}"/>
  </w:font>
  <w:font w:name="Orbitron">
    <w:charset w:val="00"/>
    <w:family w:val="auto"/>
    <w:pitch w:val="variable"/>
    <w:embedBold r:id="rIdFont9" w:fontKey="{DD69B980-8BF5-485B-887B-264408AADC83}"/>
  </w:font>
  <w:font w:name="Orbitron Black">
    <w:charset w:val="00"/>
    <w:family w:val="auto"/>
    <w:pitch w:val="variable"/>
    <w:embedRegular r:id="rIdFont10" w:fontKey="{FB57BCD2-C21A-4786-996E-8A2CEB0E49CC}"/>
  </w:font>
  <w:font w:name="Orbitron ExtraBold">
    <w:charset w:val="00"/>
    <w:family w:val="auto"/>
    <w:pitch w:val="variable"/>
    <w:embedRegular r:id="rIdFont11" w:fontKey="{C1CAF419-E783-4087-9A6D-8A53B7C23AD7}"/>
  </w:font>
  <w:font w:name="Orbitron Medium">
    <w:charset w:val="00"/>
    <w:family w:val="auto"/>
    <w:pitch w:val="variable"/>
    <w:embedRegular r:id="rIdFont12" w:fontKey="{B450B06F-5E2F-4AC9-9C91-18684BE880BE}"/>
  </w:font>
  <w:font w:name="Roboto Mono">
    <w:charset w:val="00"/>
    <w:family w:val="auto"/>
    <w:pitch w:val="variable"/>
    <w:embedRegular r:id="rIdFont13" w:fontKey="{ABA1919C-5E11-45EA-B4F2-6857B8232868}"/>
    <w:embedBold r:id="rIdFont14" w:fontKey="{66F890B2-1BA0-4C7F-A562-4B008FC67A78}"/>
  </w:font>
  <w:font w:name="Roboto Mono Medium">
    <w:charset w:val="00"/>
    <w:family w:val="auto"/>
    <w:pitch w:val="variable"/>
    <w:embedRegular r:id="rIdFont15" w:fontKey="{9D15EF92-DFE2-4C9D-B1CA-B384AF3338BA}"/>
    <w:embedItalic r:id="rIdFont16" w:fontKey="{4422975B-2E38-4499-85F5-321353E80FCC}"/>
  </w:font>
  <w:font w:name="Roboto Mono SemiBold">
    <w:charset w:val="00"/>
    <w:family w:val="auto"/>
    <w:pitch w:val="variable"/>
    <w:embedRegular r:id="rIdFont17" w:fontKey="{AF1A15CF-7299-4C61-B06F-0FB33B44E6E1}"/>
    <w:embedItalic r:id="rIdFont18" w:fontKey="{4D927269-E8B6-4700-BF13-F1FED4127CEA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CoQ-PP_26-067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