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65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CoQ-PP_26-079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07.07.2026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077"/>
        <w:gridCol w:w="44"/>
        <w:gridCol w:w="1735"/>
        <w:gridCol w:w="4474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5077"/>
            <w:shd w:val="clear" w:color="auto" w:fill="FFFFFF"/>
          </w:tcPr>
          <w:tbl>
            <w:tblPr>
              <w:tblW w:w="507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077"/>
            </w:tblGrid>
            <w:tr>
              <w:trPr>
                <w:trHeight w:val="180" w:hRule="exact"/>
              </w:trPr>
              <w:tc>
                <w:tcPr>
                  <w:tcW w:type="dxa" w:w="507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03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764"/>
              <w:gridCol w:w="39"/>
              <w:gridCol w:w="125"/>
              <w:gridCol w:w="71"/>
              <w:gridCol w:w="3038"/>
            </w:tblGrid>
            <w:tr>
              <w:trPr>
                <w:trHeight w:val="450" w:hRule="exact"/>
              </w:trPr>
              <w:tc>
                <w:tcPr>
                  <w:tcW w:type="dxa" w:w="1764"/>
                </w:tcPr>
                <w:tbl>
                  <w:tblPr>
                    <w:tblW w:w="176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64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76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FB012603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038"/>
                </w:tcPr>
                <w:tbl>
                  <w:tblPr>
                    <w:tblW w:w="303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038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303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Fat Bastard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735"/>
            <w:shd w:val="clear" w:color="auto" w:fill="FFFFFF"/>
          </w:tcPr>
          <w:tbl>
            <w:tblPr>
              <w:tblW w:w="173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735"/>
            </w:tblGrid>
            <w:tr>
              <w:trPr>
                <w:trHeight w:val="195" w:hRule="exact"/>
              </w:trPr>
              <w:tc>
                <w:tcPr>
                  <w:tcW w:type="dxa" w:w="173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73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735"/>
            </w:tblGrid>
            <w:tr>
              <w:trPr>
                <w:trHeight w:val="435" w:hRule="exact"/>
              </w:trPr>
              <w:tc>
                <w:tcPr>
                  <w:tcW w:type="dxa" w:w="1735"/>
                </w:tcPr>
                <w:tbl>
                  <w:tblPr>
                    <w:tblW w:w="173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35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735"/>
                      </w:tcPr>
                      <w:tbl>
                        <w:tblPr>
                          <w:tblW w:w="173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35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73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20.83 %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4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90"/>
        <w:gridCol w:w="1576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90"/>
            <w:shd w:val="clear" w:color="auto" w:fill="FFFFFF"/>
          </w:tcPr>
          <w:tbl>
            <w:tblPr>
              <w:tblW w:w="389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90"/>
            </w:tblGrid>
            <w:tr>
              <w:trPr>
                <w:trHeight w:val="105" w:hRule="exact"/>
              </w:trPr>
              <w:tc>
                <w:tcPr>
                  <w:tcW w:type="dxa" w:w="389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42"/>
              <w:gridCol w:w="80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42"/>
                </w:tcPr>
                <w:tbl>
                  <w:tblPr>
                    <w:tblW w:w="94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42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942"/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0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458"/>
        <w:gridCol w:w="2122"/>
        <w:gridCol w:w="1463"/>
        <w:gridCol w:w="3444"/>
        <w:gridCol w:w="472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FB_THC22:CBD1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5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22.00%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2.20%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(19.80 – 24.19 %)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6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444"/>
            <w:shd w:val="clear" w:color="auto" w:fill="FFFEFC"/>
          </w:tcPr>
          <w:tbl>
            <w:tblPr>
              <w:tblW w:w="344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444"/>
            </w:tblGrid>
            <w:tr>
              <w:trPr>
                <w:trHeight w:val="104" w:hRule="exact"/>
              </w:trPr>
              <w:tc>
                <w:tcPr>
                  <w:tcW w:type="dxa" w:w="344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0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497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97"/>
                </w:tcPr>
                <w:tbl>
                  <w:tblPr>
                    <w:tblW w:w="14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97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49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97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49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QCSP_001_FB-I_v.01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2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410"/>
        <w:gridCol w:w="501"/>
        <w:gridCol w:w="1642"/>
        <w:gridCol w:w="516"/>
        <w:gridCol w:w="1391"/>
        <w:gridCol w:w="520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410"/>
            <w:shd w:val="clear" w:color="auto" w:fill="FFFEFC"/>
          </w:tcPr>
          <w:tbl>
            <w:tblPr>
              <w:tblW w:w="241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10"/>
            </w:tblGrid>
            <w:tr>
              <w:trPr>
                <w:trHeight w:val="76" w:hRule="exact"/>
              </w:trPr>
              <w:tc>
                <w:tcPr>
                  <w:tcW w:type="dxa" w:w="241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767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67"/>
                </w:tcPr>
                <w:tbl>
                  <w:tblPr>
                    <w:tblW w:w="76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67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76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6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67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76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FB012603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01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642"/>
            <w:shd w:val="clear" w:color="auto" w:fill="FFFEFC"/>
          </w:tcPr>
          <w:tbl>
            <w:tblPr>
              <w:tblW w:w="16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2"/>
            </w:tblGrid>
            <w:tr>
              <w:trPr>
                <w:trHeight w:val="76" w:hRule="exact"/>
              </w:trPr>
              <w:tc>
                <w:tcPr>
                  <w:tcW w:type="dxa" w:w="164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1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119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19"/>
                </w:tcPr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1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1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1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391"/>
            <w:shd w:val="clear" w:color="auto" w:fill="FFFEFC"/>
          </w:tcPr>
          <w:tbl>
            <w:tblPr>
              <w:tblW w:w="13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391"/>
            </w:tblGrid>
            <w:tr>
              <w:trPr>
                <w:trHeight w:val="76" w:hRule="exact"/>
              </w:trPr>
              <w:tc>
                <w:tcPr>
                  <w:tcW w:type="dxa" w:w="139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36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119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19"/>
                </w:tcPr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1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1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20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20.83 %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0.21 %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0.06 %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7.04 %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9.2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7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  <w:spacing w:val="-4"/>
              </w:rPr>
              <w:t>&lt; 10³ and &gt; 10²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2 µg/kg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0.234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0.04 mg/kg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0.056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0.034 mg/kg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0.01 mg/kg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ППК26112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30.06.2026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1, 2, 3, 4, 5, 6, 7, 8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408/0791/26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24.06.2026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3661/2026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22.06.2026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9, 10, 11, 12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FB012603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453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78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78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33273" cy="557248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63400">
                                              <a:off x="0" y="0"/>
                                              <a:ext cx="533273" cy="557248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07.07.2026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68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68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67298" cy="551175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62200">
                                              <a:off x="0" y="0"/>
                                              <a:ext cx="467298" cy="551175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07.07.2026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FA0AAAB3-5E24-4479-A58B-12A119FDC8C8}"/>
    <w:embedItalic r:id="rIdFont2" w:fontKey="{50F835C7-71C9-4882-A01C-B30B4CE05480}"/>
    <w:embedBold r:id="rIdFont3" w:fontKey="{D35BD537-3F9B-42A6-90D6-EF8635A226ED}"/>
  </w:font>
  <w:font w:name="Montserrat ExtraBold">
    <w:charset w:val="00"/>
    <w:family w:val="auto"/>
    <w:pitch w:val="variable"/>
    <w:embedRegular r:id="rIdFont4" w:fontKey="{78BD87DD-B61D-4AD1-8625-C9FF70075E7D}"/>
  </w:font>
  <w:font w:name="Montserrat Medium">
    <w:charset w:val="00"/>
    <w:family w:val="auto"/>
    <w:pitch w:val="variable"/>
    <w:embedRegular r:id="rIdFont5" w:fontKey="{C49129F1-3607-4B83-B71B-88001AD9AAF7}"/>
    <w:embedItalic r:id="rIdFont6" w:fontKey="{59438563-4A4A-4EDB-9C8F-D7D1A679A530}"/>
  </w:font>
  <w:font w:name="Montserrat SemiBold">
    <w:charset w:val="00"/>
    <w:family w:val="auto"/>
    <w:pitch w:val="variable"/>
    <w:embedRegular r:id="rIdFont7" w:fontKey="{60FD32EE-E527-4DEE-9944-02ED74EFE94F}"/>
    <w:embedItalic r:id="rIdFont8" w:fontKey="{D6388F87-627E-4A15-AFE9-DE53564BA1A0}"/>
  </w:font>
  <w:font w:name="Orbitron">
    <w:charset w:val="00"/>
    <w:family w:val="auto"/>
    <w:pitch w:val="variable"/>
    <w:embedBold r:id="rIdFont9" w:fontKey="{A719CDCF-FBB7-4EB2-900C-B7FA29CC694F}"/>
  </w:font>
  <w:font w:name="Orbitron Black">
    <w:charset w:val="00"/>
    <w:family w:val="auto"/>
    <w:pitch w:val="variable"/>
    <w:embedRegular r:id="rIdFont10" w:fontKey="{B5724887-7D97-4EE6-92E1-60EC593939EA}"/>
  </w:font>
  <w:font w:name="Orbitron ExtraBold">
    <w:charset w:val="00"/>
    <w:family w:val="auto"/>
    <w:pitch w:val="variable"/>
    <w:embedRegular r:id="rIdFont11" w:fontKey="{D2ADDF91-C44F-4ABE-A59D-5AE3D4FDE856}"/>
  </w:font>
  <w:font w:name="Orbitron Medium">
    <w:charset w:val="00"/>
    <w:family w:val="auto"/>
    <w:pitch w:val="variable"/>
    <w:embedRegular r:id="rIdFont12" w:fontKey="{C471ADB9-C7BB-45B3-A063-14903F1C74D3}"/>
  </w:font>
  <w:font w:name="Roboto Mono">
    <w:charset w:val="00"/>
    <w:family w:val="auto"/>
    <w:pitch w:val="variable"/>
    <w:embedRegular r:id="rIdFont13" w:fontKey="{1D7C9CBB-2E77-414E-BA95-57DA3CD17565}"/>
    <w:embedBold r:id="rIdFont14" w:fontKey="{B3255565-77EC-4AFF-9B53-2F969E71DCAF}"/>
  </w:font>
  <w:font w:name="Roboto Mono Medium">
    <w:charset w:val="00"/>
    <w:family w:val="auto"/>
    <w:pitch w:val="variable"/>
    <w:embedRegular r:id="rIdFont15" w:fontKey="{AB3F73E5-CA86-47E8-A7B0-B6D9C0CF00A4}"/>
    <w:embedItalic r:id="rIdFont16" w:fontKey="{B8233CD6-BBAE-4EFC-ABD5-471624ED2EE6}"/>
  </w:font>
  <w:font w:name="Roboto Mono SemiBold">
    <w:charset w:val="00"/>
    <w:family w:val="auto"/>
    <w:pitch w:val="variable"/>
    <w:embedRegular r:id="rIdFont17" w:fontKey="{92064AE0-8A59-446F-825F-DA7D6E5BA6EB}"/>
    <w:embedItalic r:id="rIdFont18" w:fontKey="{1E8302F3-3F1C-461F-AD53-C18A7278E6AA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CoQ-PP_26-079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