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CoQ-PP_26-080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13.07.2026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52"/>
        <w:gridCol w:w="46"/>
        <w:gridCol w:w="1578"/>
        <w:gridCol w:w="475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952"/>
            <w:shd w:val="clear" w:color="auto" w:fill="FFFFFF"/>
          </w:tcPr>
          <w:tbl>
            <w:tblPr>
              <w:tblW w:w="49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52"/>
            </w:tblGrid>
            <w:tr>
              <w:trPr>
                <w:trHeight w:val="180" w:hRule="exact"/>
              </w:trPr>
              <w:tc>
                <w:tcPr>
                  <w:tcW w:type="dxa" w:w="495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79"/>
              <w:gridCol w:w="35"/>
              <w:gridCol w:w="125"/>
              <w:gridCol w:w="71"/>
              <w:gridCol w:w="2697"/>
            </w:tblGrid>
            <w:tr>
              <w:trPr>
                <w:trHeight w:val="450" w:hRule="exact"/>
              </w:trPr>
              <w:tc>
                <w:tcPr>
                  <w:tcW w:type="dxa" w:w="1979"/>
                </w:tcPr>
                <w:tbl>
                  <w:tblPr>
                    <w:tblW w:w="197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79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97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SCR022601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7"/>
                </w:tcPr>
                <w:tbl>
                  <w:tblPr>
                    <w:tblW w:w="2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Scrambler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8"/>
            <w:shd w:val="clear" w:color="auto" w:fill="FFFFFF"/>
          </w:tcPr>
          <w:tbl>
            <w:tblPr>
              <w:tblW w:w="15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8"/>
            </w:tblGrid>
            <w:tr>
              <w:trPr>
                <w:trHeight w:val="195" w:hRule="exact"/>
              </w:trPr>
              <w:tc>
                <w:tcPr>
                  <w:tcW w:type="dxa" w:w="15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8"/>
            </w:tblGrid>
            <w:tr>
              <w:trPr>
                <w:trHeight w:val="435" w:hRule="exact"/>
              </w:trPr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8"/>
                      </w:tcPr>
                      <w:tbl>
                        <w:tblPr>
                          <w:tblW w:w="157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8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8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21.92 %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SCR_THC22:CBD1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(19.80 – 24.19 %)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QCSP_001_SCR-I_v.01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501"/>
        <w:gridCol w:w="469"/>
        <w:gridCol w:w="1642"/>
        <w:gridCol w:w="486"/>
        <w:gridCol w:w="1391"/>
        <w:gridCol w:w="491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501"/>
            <w:shd w:val="clear" w:color="auto" w:fill="FFFEFC"/>
          </w:tcPr>
          <w:tbl>
            <w:tblPr>
              <w:tblW w:w="250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01"/>
            </w:tblGrid>
            <w:tr>
              <w:trPr>
                <w:trHeight w:val="76" w:hRule="exact"/>
              </w:trPr>
              <w:tc>
                <w:tcPr>
                  <w:tcW w:type="dxa" w:w="250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858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58"/>
                </w:tcPr>
                <w:tbl>
                  <w:tblPr>
                    <w:tblW w:w="8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58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85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58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8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SCR022601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21.92 %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0.19 %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7.06 %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5.4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1.4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0.035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0.058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0.009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0.01 mg/kg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ППК26116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06.07.2026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1, 2, 3, 4, 5, 6, 7, 8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403/0786/26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3657/2026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SCR022601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453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1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8665" cy="55305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478665" cy="55305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13.07.2026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04629" cy="56158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1600">
                                              <a:off x="0" y="0"/>
                                              <a:ext cx="604629" cy="56158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13.07.2026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15AAFD0-327C-4EDC-9651-8DD1F23912EB}"/>
    <w:embedItalic r:id="rIdFont2" w:fontKey="{A2E98BFE-F045-42DF-9ABC-2977CE8DFD72}"/>
    <w:embedBold r:id="rIdFont3" w:fontKey="{5F63C74E-69C3-4F00-8A0A-453DFEB3E568}"/>
  </w:font>
  <w:font w:name="Montserrat ExtraBold">
    <w:charset w:val="00"/>
    <w:family w:val="auto"/>
    <w:pitch w:val="variable"/>
    <w:embedRegular r:id="rIdFont4" w:fontKey="{F8C8A848-DD40-49BD-9655-8C34294C9721}"/>
  </w:font>
  <w:font w:name="Montserrat Medium">
    <w:charset w:val="00"/>
    <w:family w:val="auto"/>
    <w:pitch w:val="variable"/>
    <w:embedRegular r:id="rIdFont5" w:fontKey="{2D0EAD16-EA2C-4DA0-AC8B-1C9C2D443EEE}"/>
    <w:embedItalic r:id="rIdFont6" w:fontKey="{DAD13FE1-1EBF-4A23-893A-6FF9EEC686C8}"/>
  </w:font>
  <w:font w:name="Montserrat SemiBold">
    <w:charset w:val="00"/>
    <w:family w:val="auto"/>
    <w:pitch w:val="variable"/>
    <w:embedRegular r:id="rIdFont7" w:fontKey="{FF0BAB82-86F9-4737-BFEF-5EB659553DA8}"/>
    <w:embedItalic r:id="rIdFont8" w:fontKey="{3EC6E33C-A5FE-422F-9CE0-570AD4A282D1}"/>
  </w:font>
  <w:font w:name="Orbitron">
    <w:charset w:val="00"/>
    <w:family w:val="auto"/>
    <w:pitch w:val="variable"/>
    <w:embedBold r:id="rIdFont9" w:fontKey="{DD63890D-9A04-4BF7-AB91-D1158628F16E}"/>
  </w:font>
  <w:font w:name="Orbitron Black">
    <w:charset w:val="00"/>
    <w:family w:val="auto"/>
    <w:pitch w:val="variable"/>
    <w:embedRegular r:id="rIdFont10" w:fontKey="{5C50FB5B-A1C4-4228-B4A5-5088476E3593}"/>
  </w:font>
  <w:font w:name="Orbitron ExtraBold">
    <w:charset w:val="00"/>
    <w:family w:val="auto"/>
    <w:pitch w:val="variable"/>
    <w:embedRegular r:id="rIdFont11" w:fontKey="{1139515D-0229-4DE8-AFFE-9C719120AB52}"/>
  </w:font>
  <w:font w:name="Orbitron Medium">
    <w:charset w:val="00"/>
    <w:family w:val="auto"/>
    <w:pitch w:val="variable"/>
    <w:embedRegular r:id="rIdFont12" w:fontKey="{B13010CF-F84B-4CA5-A2F2-A8E3D0A83C4F}"/>
  </w:font>
  <w:font w:name="Roboto Mono">
    <w:charset w:val="00"/>
    <w:family w:val="auto"/>
    <w:pitch w:val="variable"/>
    <w:embedRegular r:id="rIdFont13" w:fontKey="{55687770-EDED-4CCC-875C-4FF292685523}"/>
    <w:embedBold r:id="rIdFont14" w:fontKey="{A8240A6D-2827-424C-B4AA-D0052192CF47}"/>
  </w:font>
  <w:font w:name="Roboto Mono Medium">
    <w:charset w:val="00"/>
    <w:family w:val="auto"/>
    <w:pitch w:val="variable"/>
    <w:embedRegular r:id="rIdFont15" w:fontKey="{4B0A3933-FC2D-4A08-97BB-552DF68727D3}"/>
    <w:embedItalic r:id="rIdFont16" w:fontKey="{2B70C128-724A-4113-A582-3C9C22A5A0FB}"/>
  </w:font>
  <w:font w:name="Roboto Mono SemiBold">
    <w:charset w:val="00"/>
    <w:family w:val="auto"/>
    <w:pitch w:val="variable"/>
    <w:embedRegular r:id="rIdFont17" w:fontKey="{340A0418-3C41-46D9-B7D1-E02EA9BF3668}"/>
    <w:embedItalic r:id="rIdFont18" w:fontKey="{40662FD2-D931-4CA8-B0FF-185853C14C6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CoQ-PP_26-080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