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CoQ-PP_26-086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CoQ-PP_26-002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899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80"/>
        <w:gridCol w:w="1580"/>
        <w:gridCol w:w="2763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6980"/>
            <w:shd w:val="clear" w:color="auto" w:fill="FFFFFF"/>
          </w:tcPr>
          <w:tbl>
            <w:tblPr>
              <w:tblW w:w="69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80"/>
            </w:tblGrid>
            <w:tr>
              <w:trPr>
                <w:trHeight w:val="180" w:hRule="exact"/>
              </w:trPr>
              <w:tc>
                <w:tcPr>
                  <w:tcW w:type="dxa" w:w="69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5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BSS1024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57"/>
                </w:tcPr>
                <w:tbl>
                  <w:tblPr>
                    <w:tblW w:w="51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5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Blue Sunset Sherbet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80"/>
            <w:shd w:val="clear" w:color="auto" w:fill="FFFFFF"/>
          </w:tcPr>
          <w:tbl>
            <w:tblPr>
              <w:tblW w:w="15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0"/>
            </w:tblGrid>
            <w:tr>
              <w:trPr>
                <w:trHeight w:val="195" w:hRule="exact"/>
              </w:trPr>
              <w:tc>
                <w:tcPr>
                  <w:tcW w:type="dxa" w:w="15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0"/>
            </w:tblGrid>
            <w:tr>
              <w:trPr>
                <w:trHeight w:val="435" w:hRule="exact"/>
              </w:trPr>
              <w:tc>
                <w:tcPr>
                  <w:tcW w:type="dxa" w:w="1580"/>
                </w:tcPr>
                <w:tbl>
                  <w:tblPr>
                    <w:tblW w:w="15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80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80"/>
                      </w:tcPr>
                      <w:tbl>
                        <w:tblPr>
                          <w:tblW w:w="158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80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8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25.01 %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763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32"/>
        <w:gridCol w:w="2122"/>
        <w:gridCol w:w="1339"/>
        <w:gridCol w:w="3606"/>
        <w:gridCol w:w="468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BSS_THC24:CBD1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2.11%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(21.89 – 26.10 %)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3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QCSP_001_BSS-II_v.01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8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BSS1024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03.2025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25.01 %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5.99 %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1.5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2.2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10² and &gt;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0.071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0.014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0.081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0.014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iCoA-PP_26-089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ППК25051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26.02.2025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161/0269/25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24.02.2025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751/2025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27.02.2025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197-2-К/26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197-2-М/26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BSS1024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28079" cy="556849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3400">
                                              <a:off x="0" y="0"/>
                                              <a:ext cx="528079" cy="55684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8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52838" cy="557636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1600">
                                              <a:off x="0" y="0"/>
                                              <a:ext cx="552838" cy="55763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2ACA67C-271F-41D4-AA39-519A37A09F42}"/>
    <w:embedItalic r:id="rIdFont2" w:fontKey="{2144C033-6F55-4031-B578-51F64F20C9EF}"/>
    <w:embedBold r:id="rIdFont3" w:fontKey="{DED144C7-2627-4145-8224-234E5336B1BA}"/>
  </w:font>
  <w:font w:name="Montserrat ExtraBold">
    <w:charset w:val="00"/>
    <w:family w:val="auto"/>
    <w:pitch w:val="variable"/>
    <w:embedRegular r:id="rIdFont4" w:fontKey="{AC924FBE-8B76-403B-9672-21B02B60C7AC}"/>
  </w:font>
  <w:font w:name="Montserrat Medium">
    <w:charset w:val="00"/>
    <w:family w:val="auto"/>
    <w:pitch w:val="variable"/>
    <w:embedRegular r:id="rIdFont5" w:fontKey="{E31061C0-078E-4B82-A05E-C4BDDA007B72}"/>
    <w:embedItalic r:id="rIdFont6" w:fontKey="{6CC15C7A-FFA5-4B47-BE13-F9C7F9C3C11F}"/>
  </w:font>
  <w:font w:name="Montserrat SemiBold">
    <w:charset w:val="00"/>
    <w:family w:val="auto"/>
    <w:pitch w:val="variable"/>
    <w:embedRegular r:id="rIdFont7" w:fontKey="{D648E7FE-E46D-40E3-82E9-C49F22E57F20}"/>
    <w:embedItalic r:id="rIdFont8" w:fontKey="{72C87A0B-CBDB-4D8B-B5A4-E78D59BB1167}"/>
  </w:font>
  <w:font w:name="Orbitron">
    <w:charset w:val="00"/>
    <w:family w:val="auto"/>
    <w:pitch w:val="variable"/>
    <w:embedBold r:id="rIdFont9" w:fontKey="{080128EC-5F56-4AC8-9941-3DC2DC616CC2}"/>
  </w:font>
  <w:font w:name="Orbitron Black">
    <w:charset w:val="00"/>
    <w:family w:val="auto"/>
    <w:pitch w:val="variable"/>
    <w:embedRegular r:id="rIdFont10" w:fontKey="{5F21594E-DE43-453A-91D0-482BDD4C77C6}"/>
  </w:font>
  <w:font w:name="Orbitron ExtraBold">
    <w:charset w:val="00"/>
    <w:family w:val="auto"/>
    <w:pitch w:val="variable"/>
    <w:embedRegular r:id="rIdFont11" w:fontKey="{C4559CDC-8005-439F-852B-7444DCDE0AE4}"/>
  </w:font>
  <w:font w:name="Orbitron Medium">
    <w:charset w:val="00"/>
    <w:family w:val="auto"/>
    <w:pitch w:val="variable"/>
    <w:embedRegular r:id="rIdFont12" w:fontKey="{99C5B158-9003-4F1B-8787-A23D02B33507}"/>
  </w:font>
  <w:font w:name="Roboto Mono">
    <w:charset w:val="00"/>
    <w:family w:val="auto"/>
    <w:pitch w:val="variable"/>
    <w:embedRegular r:id="rIdFont13" w:fontKey="{B25E12D4-11D7-4BF5-96A5-B3777397909D}"/>
    <w:embedBold r:id="rIdFont14" w:fontKey="{339205DA-0A8C-4F61-A804-47A5E5889938}"/>
  </w:font>
  <w:font w:name="Roboto Mono Medium">
    <w:charset w:val="00"/>
    <w:family w:val="auto"/>
    <w:pitch w:val="variable"/>
    <w:embedRegular r:id="rIdFont15" w:fontKey="{9526C1B7-286B-4915-80E4-490B8F4069B9}"/>
    <w:embedItalic r:id="rIdFont16" w:fontKey="{664BDB47-3C4F-49B5-8698-A1FC0EC41DBE}"/>
  </w:font>
  <w:font w:name="Roboto Mono SemiBold">
    <w:charset w:val="00"/>
    <w:family w:val="auto"/>
    <w:pitch w:val="variable"/>
    <w:embedRegular r:id="rIdFont17" w:fontKey="{4D815278-863A-4DAF-8854-B7D555F5F381}"/>
    <w:embedItalic r:id="rIdFont18" w:fontKey="{3FEC0266-EA77-42B7-A2B4-304301D0F59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CoQ-PP_26-086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