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CoQ-PP_26-087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CoQ-PP_26-068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78"/>
        <w:gridCol w:w="61"/>
        <w:gridCol w:w="1456"/>
        <w:gridCol w:w="563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178"/>
            <w:shd w:val="clear" w:color="auto" w:fill="FFFFFF"/>
          </w:tcPr>
          <w:tbl>
            <w:tblPr>
              <w:tblW w:w="41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78"/>
            </w:tblGrid>
            <w:tr>
              <w:trPr>
                <w:trHeight w:val="180" w:hRule="exact"/>
              </w:trPr>
              <w:tc>
                <w:tcPr>
                  <w:tcW w:type="dxa" w:w="41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55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55"/>
                </w:tcPr>
                <w:tbl>
                  <w:tblPr>
                    <w:tblW w:w="23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Cash Cow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1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56"/>
            <w:shd w:val="clear" w:color="auto" w:fill="FFFFFF"/>
          </w:tcPr>
          <w:tbl>
            <w:tblPr>
              <w:tblW w:w="14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56"/>
            </w:tblGrid>
            <w:tr>
              <w:trPr>
                <w:trHeight w:val="195" w:hRule="exact"/>
              </w:trPr>
              <w:tc>
                <w:tcPr>
                  <w:tcW w:type="dxa" w:w="14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56"/>
            </w:tblGrid>
            <w:tr>
              <w:trPr>
                <w:trHeight w:val="435" w:hRule="exact"/>
              </w:trPr>
              <w:tc>
                <w:tcPr>
                  <w:tcW w:type="dxa" w:w="1456"/>
                </w:tcPr>
                <w:tbl>
                  <w:tblPr>
                    <w:tblW w:w="145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5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56"/>
                      </w:tcPr>
                      <w:tbl>
                        <w:tblPr>
                          <w:tblW w:w="145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5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5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17.67 %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3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10"/>
        <w:gridCol w:w="157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10"/>
            <w:shd w:val="clear" w:color="auto" w:fill="FFFFFF"/>
          </w:tcPr>
          <w:tbl>
            <w:tblPr>
              <w:tblW w:w="53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10"/>
            </w:tblGrid>
            <w:tr>
              <w:trPr>
                <w:trHeight w:val="105" w:hRule="exact"/>
              </w:trPr>
              <w:tc>
                <w:tcPr>
                  <w:tcW w:type="dxa" w:w="53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61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1"/>
                </w:tcPr>
                <w:tbl>
                  <w:tblPr>
                    <w:tblW w:w="2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1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61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70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30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CC_THC17:CBD1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17.00%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1.65%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(15.35 – 18.64 %)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QCSP_001_CC-I_v.01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17.67 %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7.8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2.2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iCoA-PP_26-093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361/0691/26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197-6-К/26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197-6-М/26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P060332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2151" cy="560233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572151" cy="56023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5034" cy="54636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405034" cy="54636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4B5F517-05EB-4848-9631-65FBF077DCC1}"/>
    <w:embedItalic r:id="rIdFont2" w:fontKey="{AF34C7C3-A311-4013-B0E6-DCB4CAA358E5}"/>
    <w:embedBold r:id="rIdFont3" w:fontKey="{EB119BE8-F209-4F05-B331-741E9BA55804}"/>
  </w:font>
  <w:font w:name="Montserrat ExtraBold">
    <w:charset w:val="00"/>
    <w:family w:val="auto"/>
    <w:pitch w:val="variable"/>
    <w:embedRegular r:id="rIdFont4" w:fontKey="{D91CC633-9558-4777-9DBA-50C26E21A166}"/>
  </w:font>
  <w:font w:name="Montserrat Medium">
    <w:charset w:val="00"/>
    <w:family w:val="auto"/>
    <w:pitch w:val="variable"/>
    <w:embedRegular r:id="rIdFont5" w:fontKey="{934E32A9-F1CD-480C-B77E-42E9FF0AE64E}"/>
    <w:embedItalic r:id="rIdFont6" w:fontKey="{AB88B8FC-4BD5-4B24-A145-D9EC39B6BB72}"/>
  </w:font>
  <w:font w:name="Montserrat SemiBold">
    <w:charset w:val="00"/>
    <w:family w:val="auto"/>
    <w:pitch w:val="variable"/>
    <w:embedRegular r:id="rIdFont7" w:fontKey="{CB059CB3-B3FA-4A35-B194-80B28136B8CC}"/>
    <w:embedItalic r:id="rIdFont8" w:fontKey="{849369EB-EC5B-4B87-AA9F-37B2F3E817CB}"/>
  </w:font>
  <w:font w:name="Orbitron">
    <w:charset w:val="00"/>
    <w:family w:val="auto"/>
    <w:pitch w:val="variable"/>
    <w:embedBold r:id="rIdFont9" w:fontKey="{FF3510DE-A40A-413F-B2BC-0D7FFF23270E}"/>
  </w:font>
  <w:font w:name="Orbitron Black">
    <w:charset w:val="00"/>
    <w:family w:val="auto"/>
    <w:pitch w:val="variable"/>
    <w:embedRegular r:id="rIdFont10" w:fontKey="{0A7DE1F2-71AB-4537-BC32-24E38EE1F461}"/>
  </w:font>
  <w:font w:name="Orbitron ExtraBold">
    <w:charset w:val="00"/>
    <w:family w:val="auto"/>
    <w:pitch w:val="variable"/>
    <w:embedRegular r:id="rIdFont11" w:fontKey="{D92E6BB1-02B8-4613-B514-DD52C5C77ADA}"/>
  </w:font>
  <w:font w:name="Orbitron Medium">
    <w:charset w:val="00"/>
    <w:family w:val="auto"/>
    <w:pitch w:val="variable"/>
    <w:embedRegular r:id="rIdFont12" w:fontKey="{B4356A62-98A5-4E1C-932E-6E0AC8B17D8E}"/>
  </w:font>
  <w:font w:name="Roboto Mono">
    <w:charset w:val="00"/>
    <w:family w:val="auto"/>
    <w:pitch w:val="variable"/>
    <w:embedRegular r:id="rIdFont13" w:fontKey="{CAAAB606-6881-49BA-BCEC-6A1CA39967B3}"/>
    <w:embedBold r:id="rIdFont14" w:fontKey="{09D30670-A489-4A94-9A6D-CA2E1772DC52}"/>
  </w:font>
  <w:font w:name="Roboto Mono Medium">
    <w:charset w:val="00"/>
    <w:family w:val="auto"/>
    <w:pitch w:val="variable"/>
    <w:embedRegular r:id="rIdFont15" w:fontKey="{EA330920-F6CC-4F81-8849-83DC0B2B8563}"/>
    <w:embedItalic r:id="rIdFont16" w:fontKey="{8FB926CC-C2DA-41B7-8937-9271BB94520D}"/>
  </w:font>
  <w:font w:name="Roboto Mono SemiBold">
    <w:charset w:val="00"/>
    <w:family w:val="auto"/>
    <w:pitch w:val="variable"/>
    <w:embedRegular r:id="rIdFont17" w:fontKey="{156CD516-B3FB-4838-81FE-5450C0005E08}"/>
    <w:embedItalic r:id="rIdFont18" w:fontKey="{C2DD9BB9-EFB1-4863-8F5C-4E4F0ADED36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CoQ-PP_26-087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