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CoQ-PP_26-039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580"/>
        <w:gridCol w:w="539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0"/>
            <w:shd w:val="clear" w:color="auto" w:fill="FFFFFF"/>
          </w:tcPr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195" w:hRule="exact"/>
              </w:trPr>
              <w:tc>
                <w:tcPr>
                  <w:tcW w:type="dxa" w:w="15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435" w:hRule="exact"/>
              </w:trPr>
              <w:tc>
                <w:tcPr>
                  <w:tcW w:type="dxa" w:w="1580"/>
                </w:tcPr>
                <w:tbl>
                  <w:tblPr>
                    <w:tblW w:w="15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0"/>
                      </w:tcPr>
                      <w:tbl>
                        <w:tblPr>
                          <w:tblW w:w="158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18.29 %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9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(15.60 – 18.39 %)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18.29 %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7.37 %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9.5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iCoA-PP_26-092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4/0007/26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82/2026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197-5-М/26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0259" cy="55093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4000">
                                              <a:off x="0" y="0"/>
                                              <a:ext cx="450259" cy="55093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9434" cy="56118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599434" cy="56118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15ADA1C-A0AF-4E7E-99EA-8ED7823B89CF}"/>
    <w:embedItalic r:id="rIdFont2" w:fontKey="{89C04F75-2996-4CDC-BA81-4532191CC02E}"/>
    <w:embedBold r:id="rIdFont3" w:fontKey="{7F186162-809D-4814-82EC-240FF33974C6}"/>
  </w:font>
  <w:font w:name="Montserrat ExtraBold">
    <w:charset w:val="00"/>
    <w:family w:val="auto"/>
    <w:pitch w:val="variable"/>
    <w:embedRegular r:id="rIdFont4" w:fontKey="{DF76743C-8831-4B72-8EC2-82F0D90F4745}"/>
  </w:font>
  <w:font w:name="Montserrat Medium">
    <w:charset w:val="00"/>
    <w:family w:val="auto"/>
    <w:pitch w:val="variable"/>
    <w:embedRegular r:id="rIdFont5" w:fontKey="{59B58336-7C1A-4EEE-AD2C-E11E600BC096}"/>
    <w:embedItalic r:id="rIdFont6" w:fontKey="{AD1F670D-3692-45EC-A254-D7369BBCEA33}"/>
  </w:font>
  <w:font w:name="Montserrat SemiBold">
    <w:charset w:val="00"/>
    <w:family w:val="auto"/>
    <w:pitch w:val="variable"/>
    <w:embedRegular r:id="rIdFont7" w:fontKey="{D04FBF64-24A1-4AB0-AEC9-E19CABE092FC}"/>
    <w:embedItalic r:id="rIdFont8" w:fontKey="{3F8A8F10-6A13-4126-BA34-2DD08A13A509}"/>
  </w:font>
  <w:font w:name="Orbitron">
    <w:charset w:val="00"/>
    <w:family w:val="auto"/>
    <w:pitch w:val="variable"/>
    <w:embedBold r:id="rIdFont9" w:fontKey="{E391A659-7C05-467E-AE8A-64788D828768}"/>
  </w:font>
  <w:font w:name="Orbitron Black">
    <w:charset w:val="00"/>
    <w:family w:val="auto"/>
    <w:pitch w:val="variable"/>
    <w:embedRegular r:id="rIdFont10" w:fontKey="{DF347917-5779-488B-B999-528802EBB617}"/>
  </w:font>
  <w:font w:name="Orbitron ExtraBold">
    <w:charset w:val="00"/>
    <w:family w:val="auto"/>
    <w:pitch w:val="variable"/>
    <w:embedRegular r:id="rIdFont11" w:fontKey="{31B4DC35-BABB-417B-AAC1-EB45B1C9471B}"/>
  </w:font>
  <w:font w:name="Orbitron Medium">
    <w:charset w:val="00"/>
    <w:family w:val="auto"/>
    <w:pitch w:val="variable"/>
    <w:embedRegular r:id="rIdFont12" w:fontKey="{614B53FE-C3A0-483F-8852-E3D617D89654}"/>
  </w:font>
  <w:font w:name="Roboto Mono">
    <w:charset w:val="00"/>
    <w:family w:val="auto"/>
    <w:pitch w:val="variable"/>
    <w:embedRegular r:id="rIdFont13" w:fontKey="{150E1AE8-2255-4DB2-82A3-9822398F38FD}"/>
    <w:embedBold r:id="rIdFont14" w:fontKey="{C4D5DBC3-5276-4A51-8D94-8B26E1D8055D}"/>
  </w:font>
  <w:font w:name="Roboto Mono Medium">
    <w:charset w:val="00"/>
    <w:family w:val="auto"/>
    <w:pitch w:val="variable"/>
    <w:embedRegular r:id="rIdFont15" w:fontKey="{F86CE850-8B85-401E-8AC8-A338871AA33A}"/>
    <w:embedItalic r:id="rIdFont16" w:fontKey="{5465E7B8-98AD-4812-8325-93776235080A}"/>
  </w:font>
  <w:font w:name="Roboto Mono SemiBold">
    <w:charset w:val="00"/>
    <w:family w:val="auto"/>
    <w:pitch w:val="variable"/>
    <w:embedRegular r:id="rIdFont17" w:fontKey="{BA26AECA-CD8F-4B34-BF09-108D8A3379F1}"/>
    <w:embedItalic r:id="rIdFont18" w:fontKey="{5E44418C-6C1E-47A9-966D-2890274C997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CoQ-PP_26-090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