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662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639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576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619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909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CoQ-PP_26-112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18.09.2026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93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9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93A3B5"/>
                            <w:sz w:val="8"/>
                            <w:spacing w:val="2"/>
                          </w:rPr>
                          <w:t>(supersedes CoQ-PP_26-043 of 06.06.2026)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297"/>
        <w:gridCol w:w="59"/>
        <w:gridCol w:w="1730"/>
        <w:gridCol w:w="5243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4297"/>
            <w:shd w:val="clear" w:color="auto" w:fill="FFFFFF"/>
          </w:tcPr>
          <w:tbl>
            <w:tblPr>
              <w:tblW w:w="42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297"/>
            </w:tblGrid>
            <w:tr>
              <w:trPr>
                <w:trHeight w:val="180" w:hRule="exact"/>
              </w:trPr>
              <w:tc>
                <w:tcPr>
                  <w:tcW w:type="dxa" w:w="42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26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474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P060072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474"/>
                </w:tcPr>
                <w:tbl>
                  <w:tblPr>
                    <w:tblW w:w="247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74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47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Cap Junky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9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730"/>
            <w:shd w:val="clear" w:color="auto" w:fill="FFFFFF"/>
          </w:tcPr>
          <w:tbl>
            <w:tblPr>
              <w:tblW w:w="173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730"/>
            </w:tblGrid>
            <w:tr>
              <w:trPr>
                <w:trHeight w:val="195" w:hRule="exact"/>
              </w:trPr>
              <w:tc>
                <w:tcPr>
                  <w:tcW w:type="dxa" w:w="173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73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730"/>
            </w:tblGrid>
            <w:tr>
              <w:trPr>
                <w:trHeight w:val="435" w:hRule="exact"/>
              </w:trPr>
              <w:tc>
                <w:tcPr>
                  <w:tcW w:type="dxa" w:w="1730"/>
                </w:tcPr>
                <w:tbl>
                  <w:tblPr>
                    <w:tblW w:w="173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730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730"/>
                      </w:tcPr>
                      <w:tbl>
                        <w:tblPr>
                          <w:tblW w:w="173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730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73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25.65 %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243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322"/>
        <w:gridCol w:w="144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5322"/>
            <w:shd w:val="clear" w:color="auto" w:fill="FFFFFF"/>
          </w:tcPr>
          <w:tbl>
            <w:tblPr>
              <w:tblW w:w="53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322"/>
            </w:tblGrid>
            <w:tr>
              <w:trPr>
                <w:trHeight w:val="105" w:hRule="exact"/>
              </w:trPr>
              <w:tc>
                <w:tcPr>
                  <w:tcW w:type="dxa" w:w="53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25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2374"/>
              <w:gridCol w:w="52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374"/>
                </w:tcPr>
                <w:tbl>
                  <w:tblPr>
                    <w:tblW w:w="237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374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2374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  <w:shd w:val="clear" w:color="auto" w:fill="7E96AC"/>
                          </w:rPr>
                          <w:t>INDICA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D98A"/>
                            <w:sz w:val="11"/>
                            <w:spacing w:val="4"/>
                            <w:shd w:val="clear" w:color="auto" w:fill="7E96AC"/>
                          </w:rPr>
                          <w:t>60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4"/>
                            <w:shd w:val="clear" w:color="auto" w:fill="7E96AC"/>
                          </w:rPr>
                          <w:t xml:space="preserve"> : SATIVA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D98A"/>
                            <w:sz w:val="11"/>
                            <w:spacing w:val="4"/>
                            <w:shd w:val="clear" w:color="auto" w:fill="7E96AC"/>
                          </w:rPr>
                          <w:t>40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2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4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418"/>
        <w:gridCol w:w="2122"/>
        <w:gridCol w:w="1423"/>
        <w:gridCol w:w="3525"/>
        <w:gridCol w:w="470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CJ_THC24:CBD1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24.00%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2.40%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(21.60 – 26.39 %)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4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525"/>
            <w:shd w:val="clear" w:color="auto" w:fill="FFFEFC"/>
          </w:tcPr>
          <w:tbl>
            <w:tblPr>
              <w:tblW w:w="35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525"/>
            </w:tblGrid>
            <w:tr>
              <w:trPr>
                <w:trHeight w:val="104" w:hRule="exact"/>
              </w:trPr>
              <w:tc>
                <w:tcPr>
                  <w:tcW w:type="dxa" w:w="352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48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578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78"/>
                </w:tcPr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57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7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78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57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QCSP_001_CJ-II_v.01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70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P060072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12.2025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02.2026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25.65 %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LOQ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7.64 %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0.04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0.004 mg/kg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iCoA-PP_26-116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17.08.2026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ППК26007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21.01.2026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8</w:t>
            </w:r>
          </w:p>
        </w:tc>
      </w:tr>
      <w:tr>
        <w:trPr>
          <w:trHeight w:val="289" w:hRule="exact"/>
        </w:trPr>
        <w:tc>
          <w:tcPr>
            <w:tcW w:type="dxa" w:w="5605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10/0013/26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20.01.2026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86/2026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02.02.2026</w:t>
            </w:r>
          </w:p>
        </w:tc>
        <w:tc>
          <w:tcPr>
            <w:tcW w:type="dxa" w:w="2580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9, 11, 12</w:t>
            </w:r>
          </w:p>
        </w:tc>
      </w:tr>
      <w:tr>
        <w:trPr>
          <w:trHeight w:val="418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Farmahem DOOEL — Laboratory for Instrumental Analysis · ISO/IEC 17025:2017 </w:t>
            </w:r>
          </w:p>
          <w:p>
            <w:pPr>
              <w:tabs>
                <w:tab w:val="left" w:pos="3245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LT-020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  <w:p>
            <w:pPr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Kisela Voda,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220-5-К/26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25.08.2026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220-5-М/26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11.09.2026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8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3, 4, 5, 6, 10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P060072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1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1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43526" cy="552820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89800">
                                              <a:off x="0" y="0"/>
                                              <a:ext cx="443526" cy="552820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18.09.2026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7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7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588126" cy="556737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35800">
                                              <a:off x="0" y="0"/>
                                              <a:ext cx="588126" cy="556737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18.09.2026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4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21281470-B9C5-4A2D-9122-8C039DBB0FFB}"/>
    <w:embedItalic r:id="rIdFont2" w:fontKey="{1C2AF74A-8D51-4B9E-AB16-D64CB9A2771A}"/>
    <w:embedBold r:id="rIdFont3" w:fontKey="{5FDA8946-2B42-4A26-9582-9C43634FA9DD}"/>
  </w:font>
  <w:font w:name="Montserrat ExtraBold">
    <w:charset w:val="00"/>
    <w:family w:val="auto"/>
    <w:pitch w:val="variable"/>
    <w:embedRegular r:id="rIdFont4" w:fontKey="{773BBB55-0A0D-4BC4-A93A-7F7D89724A5E}"/>
  </w:font>
  <w:font w:name="Montserrat Medium">
    <w:charset w:val="00"/>
    <w:family w:val="auto"/>
    <w:pitch w:val="variable"/>
    <w:embedRegular r:id="rIdFont5" w:fontKey="{A647EAA7-F041-4747-BD81-AF64C2DDA658}"/>
    <w:embedItalic r:id="rIdFont6" w:fontKey="{4E7872E7-CEB6-41D2-A5C6-09DF6F3AB6C5}"/>
  </w:font>
  <w:font w:name="Montserrat SemiBold">
    <w:charset w:val="00"/>
    <w:family w:val="auto"/>
    <w:pitch w:val="variable"/>
    <w:embedRegular r:id="rIdFont7" w:fontKey="{96739A50-D1EA-49FA-93E8-011E7377FC17}"/>
    <w:embedItalic r:id="rIdFont8" w:fontKey="{1ACD1675-02A7-49EE-BBB6-FDD0618079CD}"/>
  </w:font>
  <w:font w:name="Orbitron">
    <w:charset w:val="00"/>
    <w:family w:val="auto"/>
    <w:pitch w:val="variable"/>
    <w:embedBold r:id="rIdFont9" w:fontKey="{8E59C370-91DF-47FC-9F82-9B147BF696A2}"/>
  </w:font>
  <w:font w:name="Orbitron Black">
    <w:charset w:val="00"/>
    <w:family w:val="auto"/>
    <w:pitch w:val="variable"/>
    <w:embedRegular r:id="rIdFont10" w:fontKey="{A3F59AB0-180B-44F6-86D4-C94C35F5DAA3}"/>
  </w:font>
  <w:font w:name="Orbitron ExtraBold">
    <w:charset w:val="00"/>
    <w:family w:val="auto"/>
    <w:pitch w:val="variable"/>
    <w:embedRegular r:id="rIdFont11" w:fontKey="{3525DDAB-13A0-486F-AADD-9E407CB0797B}"/>
  </w:font>
  <w:font w:name="Orbitron Medium">
    <w:charset w:val="00"/>
    <w:family w:val="auto"/>
    <w:pitch w:val="variable"/>
    <w:embedRegular r:id="rIdFont12" w:fontKey="{1E86127B-6453-49EB-A224-500FE1EBDBA5}"/>
  </w:font>
  <w:font w:name="Roboto Mono">
    <w:charset w:val="00"/>
    <w:family w:val="auto"/>
    <w:pitch w:val="variable"/>
    <w:embedRegular r:id="rIdFont13" w:fontKey="{47501FBC-2D73-4E20-929C-D12278FAB970}"/>
    <w:embedBold r:id="rIdFont14" w:fontKey="{1A786443-0851-4DB3-BA00-2236598A5373}"/>
  </w:font>
  <w:font w:name="Roboto Mono Medium">
    <w:charset w:val="00"/>
    <w:family w:val="auto"/>
    <w:pitch w:val="variable"/>
    <w:embedRegular r:id="rIdFont15" w:fontKey="{98715511-FADD-4515-95D2-84EDD9A11C6F}"/>
    <w:embedItalic r:id="rIdFont16" w:fontKey="{37C1D37B-18B9-4E96-89C2-F07C102A3973}"/>
  </w:font>
  <w:font w:name="Roboto Mono SemiBold">
    <w:charset w:val="00"/>
    <w:family w:val="auto"/>
    <w:pitch w:val="variable"/>
    <w:embedRegular r:id="rIdFont17" w:fontKey="{AE36793F-60FE-499A-AD75-D7DB7F449642}"/>
    <w:embedItalic r:id="rIdFont18" w:fontKey="{C3AF4A4D-29BC-41F9-AE2B-2684355D5FE4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CoQ-PP_26-112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