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CoQ-PP_26-113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CoQ-PP_26-032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50"/>
        <w:gridCol w:w="38"/>
        <w:gridCol w:w="1439"/>
        <w:gridCol w:w="450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50"/>
            <w:shd w:val="clear" w:color="auto" w:fill="FFFFFF"/>
          </w:tcPr>
          <w:tbl>
            <w:tblPr>
              <w:tblW w:w="535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50"/>
            </w:tblGrid>
            <w:tr>
              <w:trPr>
                <w:trHeight w:val="180" w:hRule="exact"/>
              </w:trPr>
              <w:tc>
                <w:tcPr>
                  <w:tcW w:type="dxa" w:w="535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1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52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27"/>
                </w:tcPr>
                <w:tbl>
                  <w:tblPr>
                    <w:tblW w:w="35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2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5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Clemosa A Bud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39"/>
            <w:shd w:val="clear" w:color="auto" w:fill="FFFFFF"/>
          </w:tcPr>
          <w:tbl>
            <w:tblPr>
              <w:tblW w:w="1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39"/>
            </w:tblGrid>
            <w:tr>
              <w:trPr>
                <w:trHeight w:val="195" w:hRule="exact"/>
              </w:trPr>
              <w:tc>
                <w:tcPr>
                  <w:tcW w:type="dxa" w:w="143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39"/>
            </w:tblGrid>
            <w:tr>
              <w:trPr>
                <w:trHeight w:val="435" w:hRule="exact"/>
              </w:trPr>
              <w:tc>
                <w:tcPr>
                  <w:tcW w:type="dxa" w:w="1439"/>
                </w:tcPr>
                <w:tbl>
                  <w:tblPr>
                    <w:tblW w:w="143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3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39"/>
                      </w:tcPr>
                      <w:tbl>
                        <w:tblPr>
                          <w:tblW w:w="143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39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3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8.65 %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0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97"/>
        <w:gridCol w:w="1962"/>
        <w:gridCol w:w="1505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CLE_THC8:CBD1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9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962"/>
            <w:shd w:val="clear" w:color="auto" w:fill="FFFEFC"/>
          </w:tcPr>
          <w:tbl>
            <w:tblPr>
              <w:tblW w:w="19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62"/>
            </w:tblGrid>
            <w:tr>
              <w:trPr>
                <w:trHeight w:val="45" w:hRule="exact"/>
              </w:trPr>
              <w:tc>
                <w:tcPr>
                  <w:tcW w:type="dxa" w:w="19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9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23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37"/>
                </w:tcPr>
                <w:tbl>
                  <w:tblPr>
                    <w:tblW w:w="123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237"/>
                      </w:tcPr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0.80%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23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(7.20 – 8.79 %)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0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QCSP_001_CLE-I_v.01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10.2025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8.65 %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9.68 %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0.021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ППК25370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28.11.2025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1219/2170/25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01.12.2025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5700/2025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02.12.2025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220-7-К/26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220-7-М/26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9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30476" cy="55171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30476" cy="55171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51749" cy="55423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551749" cy="55423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FA56DE1-7D3D-4B80-83F3-0B0628F931E5}"/>
    <w:embedItalic r:id="rIdFont2" w:fontKey="{B991B699-E4FC-4425-8C08-CCB9C8F91A2A}"/>
    <w:embedBold r:id="rIdFont3" w:fontKey="{9149B7B3-F156-4CE8-8A9E-5344BB12DC4F}"/>
  </w:font>
  <w:font w:name="Montserrat ExtraBold">
    <w:charset w:val="00"/>
    <w:family w:val="auto"/>
    <w:pitch w:val="variable"/>
    <w:embedRegular r:id="rIdFont4" w:fontKey="{5E670873-C265-4732-9C7F-5FAF0279BF31}"/>
  </w:font>
  <w:font w:name="Montserrat Medium">
    <w:charset w:val="00"/>
    <w:family w:val="auto"/>
    <w:pitch w:val="variable"/>
    <w:embedRegular r:id="rIdFont5" w:fontKey="{9C5DEADD-D22D-45B1-AC2B-5BCF2CF6561B}"/>
    <w:embedItalic r:id="rIdFont6" w:fontKey="{B6769CA0-F7CF-49E1-B92D-603AF532BA78}"/>
  </w:font>
  <w:font w:name="Montserrat SemiBold">
    <w:charset w:val="00"/>
    <w:family w:val="auto"/>
    <w:pitch w:val="variable"/>
    <w:embedRegular r:id="rIdFont7" w:fontKey="{7F1CB9CB-2A56-43B8-8F54-30288D46AB18}"/>
    <w:embedItalic r:id="rIdFont8" w:fontKey="{60C42455-6231-4469-B66D-24B137AAF4B7}"/>
  </w:font>
  <w:font w:name="Orbitron">
    <w:charset w:val="00"/>
    <w:family w:val="auto"/>
    <w:pitch w:val="variable"/>
    <w:embedBold r:id="rIdFont9" w:fontKey="{A0E106F8-2824-4125-BABC-61C2CFA45D45}"/>
  </w:font>
  <w:font w:name="Orbitron Black">
    <w:charset w:val="00"/>
    <w:family w:val="auto"/>
    <w:pitch w:val="variable"/>
    <w:embedRegular r:id="rIdFont10" w:fontKey="{5157E869-5786-41EE-8921-95450851BE7B}"/>
  </w:font>
  <w:font w:name="Orbitron ExtraBold">
    <w:charset w:val="00"/>
    <w:family w:val="auto"/>
    <w:pitch w:val="variable"/>
    <w:embedRegular r:id="rIdFont11" w:fontKey="{5B8EAF7D-1FEC-47F5-AB34-575668E0B87C}"/>
  </w:font>
  <w:font w:name="Orbitron Medium">
    <w:charset w:val="00"/>
    <w:family w:val="auto"/>
    <w:pitch w:val="variable"/>
    <w:embedRegular r:id="rIdFont12" w:fontKey="{6A934103-70BB-4C07-ACBF-63E005E11385}"/>
  </w:font>
  <w:font w:name="Roboto Mono">
    <w:charset w:val="00"/>
    <w:family w:val="auto"/>
    <w:pitch w:val="variable"/>
    <w:embedRegular r:id="rIdFont13" w:fontKey="{934ECFDB-BED7-4A1C-B74C-3A95FF80F49B}"/>
    <w:embedBold r:id="rIdFont14" w:fontKey="{89B7CB60-C923-41DD-9550-0C475711526B}"/>
  </w:font>
  <w:font w:name="Roboto Mono Medium">
    <w:charset w:val="00"/>
    <w:family w:val="auto"/>
    <w:pitch w:val="variable"/>
    <w:embedRegular r:id="rIdFont15" w:fontKey="{0555ADEC-2ABE-41F7-A336-AE765005998F}"/>
    <w:embedItalic r:id="rIdFont16" w:fontKey="{1751121D-2567-47FD-93D3-140D87888BEF}"/>
  </w:font>
  <w:font w:name="Roboto Mono SemiBold">
    <w:charset w:val="00"/>
    <w:family w:val="auto"/>
    <w:pitch w:val="variable"/>
    <w:embedRegular r:id="rIdFont17" w:fontKey="{10C329CD-B26C-45FF-BC27-651765999DBB}"/>
    <w:embedItalic r:id="rIdFont18" w:fontKey="{EA27BB29-F6A9-41EF-A00D-7C21543F60D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CoQ-PP_26-113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