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CoQ-PP_26-115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CoQ-PP_26-004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730"/>
        <w:gridCol w:w="50"/>
        <w:gridCol w:w="1425"/>
        <w:gridCol w:w="5125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730"/>
            <w:shd w:val="clear" w:color="auto" w:fill="FFFFFF"/>
          </w:tcPr>
          <w:tbl>
            <w:tblPr>
              <w:tblW w:w="47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730"/>
            </w:tblGrid>
            <w:tr>
              <w:trPr>
                <w:trHeight w:val="180" w:hRule="exact"/>
              </w:trPr>
              <w:tc>
                <w:tcPr>
                  <w:tcW w:type="dxa" w:w="47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32"/>
              <w:gridCol w:w="47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332"/>
                </w:tcPr>
                <w:tbl>
                  <w:tblPr>
                    <w:tblW w:w="133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32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33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GG1024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5"/>
            <w:shd w:val="clear" w:color="auto" w:fill="FFFFFF"/>
          </w:tcPr>
          <w:tbl>
            <w:tblPr>
              <w:tblW w:w="14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5"/>
            </w:tblGrid>
            <w:tr>
              <w:trPr>
                <w:trHeight w:val="195" w:hRule="exact"/>
              </w:trPr>
              <w:tc>
                <w:tcPr>
                  <w:tcW w:type="dxa" w:w="14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5"/>
            </w:tblGrid>
            <w:tr>
              <w:trPr>
                <w:trHeight w:val="435" w:hRule="exact"/>
              </w:trPr>
              <w:tc>
                <w:tcPr>
                  <w:tcW w:type="dxa" w:w="1425"/>
                </w:tcPr>
                <w:tbl>
                  <w:tblPr>
                    <w:tblW w:w="1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5"/>
                      </w:tcPr>
                      <w:tbl>
                        <w:tblPr>
                          <w:tblW w:w="14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15.51 %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25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GG_THC15:CBD1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15.00%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1.23%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(13.77 – 16.22 %)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227"/>
        <w:gridCol w:w="246"/>
        <w:gridCol w:w="2128"/>
        <w:gridCol w:w="248"/>
        <w:gridCol w:w="1878"/>
        <w:gridCol w:w="25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227"/>
            <w:shd w:val="clear" w:color="auto" w:fill="FFFEFC"/>
          </w:tcPr>
          <w:tbl>
            <w:tblPr>
              <w:tblW w:w="222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227"/>
            </w:tblGrid>
            <w:tr>
              <w:trPr>
                <w:trHeight w:val="76" w:hRule="exact"/>
              </w:trPr>
              <w:tc>
                <w:tcPr>
                  <w:tcW w:type="dxa" w:w="222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8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584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84"/>
                </w:tcPr>
                <w:tbl>
                  <w:tblPr>
                    <w:tblW w:w="5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8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5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8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5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4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4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5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15.51 %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0.004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ППК25008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29.01.2025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166/0274/25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748/2025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04.03.2025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220-9-К/26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220-9-М/26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GG1024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38336" cy="552380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38336" cy="55238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6470" cy="54906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476470" cy="54906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8E2A986-6FA6-45E3-B72A-1FA7A05116B2}"/>
    <w:embedItalic r:id="rIdFont2" w:fontKey="{EA00CE56-A89F-434B-B602-3F1A8E1B970A}"/>
    <w:embedBold r:id="rIdFont3" w:fontKey="{15238F88-850A-41C5-8577-E765DB9E0972}"/>
  </w:font>
  <w:font w:name="Montserrat ExtraBold">
    <w:charset w:val="00"/>
    <w:family w:val="auto"/>
    <w:pitch w:val="variable"/>
    <w:embedRegular r:id="rIdFont4" w:fontKey="{448EEC83-6405-4BCA-B90D-636BDD76FC93}"/>
  </w:font>
  <w:font w:name="Montserrat Medium">
    <w:charset w:val="00"/>
    <w:family w:val="auto"/>
    <w:pitch w:val="variable"/>
    <w:embedRegular r:id="rIdFont5" w:fontKey="{F2EA9843-B6BF-4697-B178-CC2D3F7FF834}"/>
    <w:embedItalic r:id="rIdFont6" w:fontKey="{4D7D42B2-E97F-4490-A54F-DD7206EA200C}"/>
  </w:font>
  <w:font w:name="Montserrat SemiBold">
    <w:charset w:val="00"/>
    <w:family w:val="auto"/>
    <w:pitch w:val="variable"/>
    <w:embedRegular r:id="rIdFont7" w:fontKey="{4D2134A0-C4C0-46A9-B12A-67B266AB27B2}"/>
    <w:embedItalic r:id="rIdFont8" w:fontKey="{9BA6F832-CD4D-4327-96A5-69AEFFB61343}"/>
  </w:font>
  <w:font w:name="Orbitron">
    <w:charset w:val="00"/>
    <w:family w:val="auto"/>
    <w:pitch w:val="variable"/>
    <w:embedBold r:id="rIdFont9" w:fontKey="{7EE43BF6-24A7-462A-89BB-306606B70A7F}"/>
  </w:font>
  <w:font w:name="Orbitron Black">
    <w:charset w:val="00"/>
    <w:family w:val="auto"/>
    <w:pitch w:val="variable"/>
    <w:embedRegular r:id="rIdFont10" w:fontKey="{8EE39C28-E770-494D-8EBE-DB75CCFC277B}"/>
  </w:font>
  <w:font w:name="Orbitron ExtraBold">
    <w:charset w:val="00"/>
    <w:family w:val="auto"/>
    <w:pitch w:val="variable"/>
    <w:embedRegular r:id="rIdFont11" w:fontKey="{70B0AD6C-8759-4911-B328-F77D752CDA27}"/>
  </w:font>
  <w:font w:name="Orbitron Medium">
    <w:charset w:val="00"/>
    <w:family w:val="auto"/>
    <w:pitch w:val="variable"/>
    <w:embedRegular r:id="rIdFont12" w:fontKey="{ED17B1F5-C0EF-4F05-9DDB-293D248DCDA0}"/>
  </w:font>
  <w:font w:name="Roboto Mono">
    <w:charset w:val="00"/>
    <w:family w:val="auto"/>
    <w:pitch w:val="variable"/>
    <w:embedRegular r:id="rIdFont13" w:fontKey="{248904EC-E481-47A8-9ED3-065B409B2BF5}"/>
    <w:embedBold r:id="rIdFont14" w:fontKey="{AD91E026-484F-49D1-8854-25FE12294EF9}"/>
  </w:font>
  <w:font w:name="Roboto Mono Medium">
    <w:charset w:val="00"/>
    <w:family w:val="auto"/>
    <w:pitch w:val="variable"/>
    <w:embedRegular r:id="rIdFont15" w:fontKey="{894E214F-82F2-4483-A124-19DD6BC1C89C}"/>
    <w:embedItalic r:id="rIdFont16" w:fontKey="{21BE208F-175A-403B-90C1-37FDBF101418}"/>
  </w:font>
  <w:font w:name="Roboto Mono SemiBold">
    <w:charset w:val="00"/>
    <w:family w:val="auto"/>
    <w:pitch w:val="variable"/>
    <w:embedRegular r:id="rIdFont17" w:fontKey="{1643FD58-3DB8-41C7-97B5-54C13E6701B7}"/>
    <w:embedItalic r:id="rIdFont18" w:fontKey="{F97770A9-6318-4734-A094-3B7353BFAB2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CoQ-PP_26-115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