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662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39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576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619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909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CoQ-PP_26-118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18.09.2026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93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9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93A3B5"/>
                            <w:sz w:val="8"/>
                            <w:spacing w:val="2"/>
                          </w:rPr>
                          <w:t>(supersedes CoQ-PP_26-035 of 06.06.2026)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061"/>
        <w:gridCol w:w="64"/>
        <w:gridCol w:w="1578"/>
        <w:gridCol w:w="5628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4061"/>
            <w:shd w:val="clear" w:color="auto" w:fill="FFFFFF"/>
          </w:tcPr>
          <w:tbl>
            <w:tblPr>
              <w:tblW w:w="406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061"/>
            </w:tblGrid>
            <w:tr>
              <w:trPr>
                <w:trHeight w:val="180" w:hRule="exact"/>
              </w:trPr>
              <w:tc>
                <w:tcPr>
                  <w:tcW w:type="dxa" w:w="406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02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2238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P050312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238"/>
                </w:tcPr>
                <w:tbl>
                  <w:tblPr>
                    <w:tblW w:w="223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38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223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Grape Pie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4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1578"/>
            <w:shd w:val="clear" w:color="auto" w:fill="FFFFFF"/>
          </w:tcPr>
          <w:tbl>
            <w:tblPr>
              <w:tblW w:w="15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78"/>
            </w:tblGrid>
            <w:tr>
              <w:trPr>
                <w:trHeight w:val="195" w:hRule="exact"/>
              </w:trPr>
              <w:tc>
                <w:tcPr>
                  <w:tcW w:type="dxa" w:w="157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5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78"/>
            </w:tblGrid>
            <w:tr>
              <w:trPr>
                <w:trHeight w:val="435" w:hRule="exact"/>
              </w:trPr>
              <w:tc>
                <w:tcPr>
                  <w:tcW w:type="dxa" w:w="1578"/>
                </w:tcPr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1578"/>
                      </w:tcPr>
                      <w:tbl>
                        <w:tblPr>
                          <w:tblW w:w="1578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78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1578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7A5C1E"/>
                                  <w:sz w:val="34"/>
                                </w:rPr>
                                <w:t>25.13 %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28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890"/>
        <w:gridCol w:w="1576"/>
        <w:gridCol w:w="2482"/>
        <w:gridCol w:w="338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3890"/>
            <w:shd w:val="clear" w:color="auto" w:fill="FFFFFF"/>
          </w:tcPr>
          <w:tbl>
            <w:tblPr>
              <w:tblW w:w="389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90"/>
            </w:tblGrid>
            <w:tr>
              <w:trPr>
                <w:trHeight w:val="105" w:hRule="exact"/>
              </w:trPr>
              <w:tc>
                <w:tcPr>
                  <w:tcW w:type="dxa" w:w="389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942"/>
              <w:gridCol w:w="80"/>
              <w:gridCol w:w="1742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42"/>
                </w:tcPr>
                <w:tbl>
                  <w:tblPr>
                    <w:tblW w:w="94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42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942"/>
                        <w:shd w:val="clear" w:color="auto" w:fill="7E96AC"/>
                        <w:tcMar>
                          <w:top w:w="0" w:type="dxa"/>
                          <w:left w:w="7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  <w:shd w:val="clear" w:color="auto" w:fill="7E96AC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0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82"/>
            <w:shd w:val="clear" w:color="auto" w:fill="FFFFFF"/>
          </w:tcPr>
          <w:tbl>
            <w:tblPr>
              <w:tblW w:w="24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82"/>
            </w:tblGrid>
            <w:tr>
              <w:trPr>
                <w:trHeight w:val="105" w:hRule="exact"/>
              </w:trPr>
              <w:tc>
                <w:tcPr>
                  <w:tcW w:type="dxa" w:w="24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6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60"/>
                </w:tcPr>
                <w:tbl>
                  <w:tblPr>
                    <w:tblW w:w="13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0"/>
                    <w:gridCol w:w="55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70"/>
                      </w:tcPr>
                      <w:tbl>
                        <w:tblPr>
                          <w:tblW w:w="67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7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70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8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71"/>
        <w:gridCol w:w="1418"/>
        <w:gridCol w:w="2122"/>
        <w:gridCol w:w="1423"/>
        <w:gridCol w:w="3525"/>
        <w:gridCol w:w="470"/>
      </w:tblGrid>
      <w:tr>
        <w:trPr>
          <w:trHeight w:val="456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71"/>
            <w:shd w:val="clear" w:color="auto" w:fill="FFFEFC"/>
          </w:tcPr>
          <w:tbl>
            <w:tblPr>
              <w:tblW w:w="237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71"/>
            </w:tblGrid>
            <w:tr>
              <w:trPr>
                <w:trHeight w:val="104" w:hRule="exact"/>
              </w:trPr>
              <w:tc>
                <w:tcPr>
                  <w:tcW w:type="dxa" w:w="237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3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1223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23"/>
                </w:tcPr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122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22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GP_THC24:CBD1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1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2"/>
            <w:shd w:val="clear" w:color="auto" w:fill="FFFEFC"/>
          </w:tcPr>
          <w:tbl>
            <w:tblPr>
              <w:tblW w:w="21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2"/>
            </w:tblGrid>
            <w:tr>
              <w:trPr>
                <w:trHeight w:val="45" w:hRule="exact"/>
              </w:trPr>
              <w:tc>
                <w:tcPr>
                  <w:tcW w:type="dxa" w:w="21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10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1397"/>
            </w:tblGrid>
            <w:tr>
              <w:trPr>
                <w:trHeight w:val="366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59" w:hRule="exact"/>
                    </w:trPr>
                    <w:tc>
                      <w:tcPr>
                        <w:tcW w:type="dxa" w:w="68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7"/>
                </w:tcPr>
                <w:tbl>
                  <w:tblPr>
                    <w:tblW w:w="13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97"/>
                  </w:tblGrid>
                  <w:tr>
                    <w:trPr>
                      <w:trHeight w:val="366" w:hRule="exact"/>
                    </w:trPr>
                    <w:tc>
                      <w:tcPr>
                        <w:tcW w:type="dxa" w:w="1397"/>
                      </w:tcPr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210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3A5C"/>
                                  <w:sz w:val="16"/>
                                  <w:spacing w:val="3"/>
                                </w:rPr>
                                <w:t>24.00%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Medium" w:hAnsi="Roboto Mono Medium" w:cs="Roboto Mono Medium" w:eastAsia="Roboto Mono Medium"/>
                                  <w:b w:val="0"/>
                                  <w:i w:val="0"/>
                                  <w:color w:val="475569"/>
                                  <w:sz w:val="14"/>
                                  <w:spacing w:val="3"/>
                                </w:rPr>
                                <w:t>± 2.00%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39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41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olor w:val="5A7391"/>
                                  <w:sz w:val="13"/>
                                  <w:spacing w:val="3"/>
                                </w:rPr>
                                <w:t>(22.00 – 25.99 %)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2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525"/>
            <w:shd w:val="clear" w:color="auto" w:fill="FFFEFC"/>
          </w:tcPr>
          <w:tbl>
            <w:tblPr>
              <w:tblW w:w="352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25"/>
            </w:tblGrid>
            <w:tr>
              <w:trPr>
                <w:trHeight w:val="104" w:hRule="exact"/>
              </w:trPr>
              <w:tc>
                <w:tcPr>
                  <w:tcW w:type="dxa" w:w="352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48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1578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78"/>
                </w:tcPr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57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5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QCSP_001_GP-II_v.01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0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18"/>
        <w:gridCol w:w="214"/>
        <w:gridCol w:w="2128"/>
        <w:gridCol w:w="218"/>
        <w:gridCol w:w="1878"/>
        <w:gridCol w:w="223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18"/>
            <w:shd w:val="clear" w:color="auto" w:fill="FFFEFC"/>
          </w:tcPr>
          <w:tbl>
            <w:tblPr>
              <w:tblW w:w="231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18"/>
            </w:tblGrid>
            <w:tr>
              <w:trPr>
                <w:trHeight w:val="76" w:hRule="exact"/>
              </w:trPr>
              <w:tc>
                <w:tcPr>
                  <w:tcW w:type="dxa" w:w="231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27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676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76"/>
                </w:tcPr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67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P050312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4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8"/>
            <w:shd w:val="clear" w:color="auto" w:fill="FFFEFC"/>
          </w:tcPr>
          <w:tbl>
            <w:tblPr>
              <w:tblW w:w="21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8"/>
            </w:tblGrid>
            <w:tr>
              <w:trPr>
                <w:trHeight w:val="76" w:hRule="exact"/>
              </w:trPr>
              <w:tc>
                <w:tcPr>
                  <w:tcW w:type="dxa" w:w="21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9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11.2025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878"/>
            <w:shd w:val="clear" w:color="auto" w:fill="FFFEFC"/>
          </w:tcPr>
          <w:tbl>
            <w:tblPr>
              <w:tblW w:w="1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78"/>
            </w:tblGrid>
            <w:tr>
              <w:trPr>
                <w:trHeight w:val="76" w:hRule="exact"/>
              </w:trPr>
              <w:tc>
                <w:tcPr>
                  <w:tcW w:type="dxa" w:w="187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85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12.2025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2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97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38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TRIPLEX ALU BAG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Триплекс алу кеса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PET 12 · ALU 7 · PE 80 · 300×500 mm · net 400.0 g ±3%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Per Section 01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Согласно Погл. 01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25.13 %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6.29 %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4.3 × 10²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1 × 10³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  <w:spacing w:val="-4"/>
              </w:rPr>
              <w:t>&lt; 10³ and &gt; 10²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0.014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0.003 mg/kg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0.02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0.017 mg/kg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6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Purely Plant QC Department · In-house </w:t>
            </w:r>
          </w:p>
          <w:p>
            <w:pPr>
              <w:tabs>
                <w:tab w:val="left" w:pos="1935"/>
              </w:tabs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>Пјурли Плант — Сектор за КК · In-house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ab/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Kojlija 1043, Petrovec-Skopje,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iCoA-PP_26-122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17.08.2026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1, 2, 7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UKIM Faculty of Pharmacy — Center for Natural Products · ISO/IEC 17025:2017 </w:t>
            </w:r>
          </w:p>
          <w:p>
            <w:pPr>
              <w:tabs>
                <w:tab w:val="left" w:pos="2328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УКИМ ФФ — Центар за Природни Производи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LT-083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Mother Theresa 47,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ППК25380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12.12.2025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8</w:t>
            </w:r>
          </w:p>
        </w:tc>
      </w:tr>
      <w:tr>
        <w:trPr>
          <w:trHeight w:val="289" w:hRule="exact"/>
        </w:trPr>
        <w:tc>
          <w:tcPr>
            <w:tcW w:type="dxa" w:w="5605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JZU Institute for Public Health (IPH Skopje) · ISO/IEC 17025:2017 </w:t>
            </w:r>
          </w:p>
          <w:p>
            <w:pPr>
              <w:tabs>
                <w:tab w:val="left" w:pos="2177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LT-005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50ta Divizija 6, 1000 Skopje, MK</w:t>
            </w:r>
          </w:p>
        </w:tc>
        <w:tc>
          <w:tcPr>
            <w:tcW w:type="dxa" w:w="3720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1226/2192/25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05.12.2025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5888/2025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12.12.2025</w:t>
            </w:r>
          </w:p>
        </w:tc>
        <w:tc>
          <w:tcPr>
            <w:tcW w:type="dxa" w:w="2580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9, 11, 12</w:t>
            </w:r>
          </w:p>
        </w:tc>
      </w:tr>
      <w:tr>
        <w:trPr>
          <w:trHeight w:val="418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Farmahem DOOEL — Laboratory for Instrumental Analysis · ISO/IEC 17025:2017 </w:t>
            </w:r>
          </w:p>
          <w:p>
            <w:pPr>
              <w:tabs>
                <w:tab w:val="left" w:pos="3245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LT-020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  <w:p>
            <w:pPr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220-12-К/26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25.08.2026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220-12-М/26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11.09.2026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8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3, 4, 5, 6, 10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P050312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88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88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575809" cy="563997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89800">
                                              <a:off x="0" y="0"/>
                                              <a:ext cx="575809" cy="563997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18.09.2026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57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57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01341" cy="543905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235800">
                                              <a:off x="0" y="0"/>
                                              <a:ext cx="401341" cy="543905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18.09.2026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4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331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MK GMP Certified Facility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0E4DA8A5-1CAF-420C-8FDD-173122997420}"/>
    <w:embedItalic r:id="rIdFont2" w:fontKey="{81A1D616-AA26-4997-B6ED-63C8EAB30BAC}"/>
    <w:embedBold r:id="rIdFont3" w:fontKey="{821F1ACF-1E7E-4A56-9506-4289E870B1BE}"/>
  </w:font>
  <w:font w:name="Montserrat ExtraBold">
    <w:charset w:val="00"/>
    <w:family w:val="auto"/>
    <w:pitch w:val="variable"/>
    <w:embedRegular r:id="rIdFont4" w:fontKey="{DB3652C2-67DF-4CE9-AF49-D958474E3AF9}"/>
  </w:font>
  <w:font w:name="Montserrat Medium">
    <w:charset w:val="00"/>
    <w:family w:val="auto"/>
    <w:pitch w:val="variable"/>
    <w:embedRegular r:id="rIdFont5" w:fontKey="{6B9D7F45-8D88-40F7-A1D7-91ED4C2D12F6}"/>
    <w:embedItalic r:id="rIdFont6" w:fontKey="{E76AD3D9-9746-4DDA-8A19-1CC853C8F50A}"/>
  </w:font>
  <w:font w:name="Montserrat SemiBold">
    <w:charset w:val="00"/>
    <w:family w:val="auto"/>
    <w:pitch w:val="variable"/>
    <w:embedRegular r:id="rIdFont7" w:fontKey="{4D600329-B822-4CB2-B05B-46CDE11F1AB8}"/>
    <w:embedItalic r:id="rIdFont8" w:fontKey="{BD35E9EA-883B-4CBD-A88E-44B55748C15C}"/>
  </w:font>
  <w:font w:name="Orbitron">
    <w:charset w:val="00"/>
    <w:family w:val="auto"/>
    <w:pitch w:val="variable"/>
    <w:embedBold r:id="rIdFont9" w:fontKey="{96DC5C12-1357-4281-BBB4-99F1962A6FB7}"/>
  </w:font>
  <w:font w:name="Orbitron Black">
    <w:charset w:val="00"/>
    <w:family w:val="auto"/>
    <w:pitch w:val="variable"/>
    <w:embedRegular r:id="rIdFont10" w:fontKey="{9F0ECC07-85CA-478B-9299-84B726AB69D4}"/>
  </w:font>
  <w:font w:name="Orbitron ExtraBold">
    <w:charset w:val="00"/>
    <w:family w:val="auto"/>
    <w:pitch w:val="variable"/>
    <w:embedRegular r:id="rIdFont11" w:fontKey="{386375B4-90F6-4E42-8EF1-109FCB6534AD}"/>
  </w:font>
  <w:font w:name="Orbitron Medium">
    <w:charset w:val="00"/>
    <w:family w:val="auto"/>
    <w:pitch w:val="variable"/>
    <w:embedRegular r:id="rIdFont12" w:fontKey="{B732EAD8-773B-4271-92A0-88C99AFDE561}"/>
  </w:font>
  <w:font w:name="Roboto Mono">
    <w:charset w:val="00"/>
    <w:family w:val="auto"/>
    <w:pitch w:val="variable"/>
    <w:embedRegular r:id="rIdFont13" w:fontKey="{C95C8F20-27D3-4B5B-8F98-F15D6C9EB1D4}"/>
    <w:embedBold r:id="rIdFont14" w:fontKey="{E492F1D2-7AFD-4867-BA53-8A7A12F32E90}"/>
  </w:font>
  <w:font w:name="Roboto Mono Medium">
    <w:charset w:val="00"/>
    <w:family w:val="auto"/>
    <w:pitch w:val="variable"/>
    <w:embedRegular r:id="rIdFont15" w:fontKey="{6D88DFE1-B68D-4581-9FA4-9976803247C9}"/>
    <w:embedItalic r:id="rIdFont16" w:fontKey="{6A056FD5-1F25-458E-969B-557AAF02D1CC}"/>
  </w:font>
  <w:font w:name="Roboto Mono SemiBold">
    <w:charset w:val="00"/>
    <w:family w:val="auto"/>
    <w:pitch w:val="variable"/>
    <w:embedRegular r:id="rIdFont17" w:fontKey="{983691B5-8D89-48D8-BF4A-06C814A47DEE}"/>
    <w:embedItalic r:id="rIdFont18" w:fontKey="{952C0B91-6968-4B15-B5A8-45F9AB886B38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CoQ-PP_26-118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