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662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576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19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CoQ-PP_26-121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18.09.2026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CoQ-PP_26-024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826"/>
        <w:gridCol w:w="29"/>
        <w:gridCol w:w="1574"/>
        <w:gridCol w:w="3901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826"/>
            <w:shd w:val="clear" w:color="auto" w:fill="FFFFFF"/>
          </w:tcPr>
          <w:tbl>
            <w:tblPr>
              <w:tblW w:w="58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826"/>
            </w:tblGrid>
            <w:tr>
              <w:trPr>
                <w:trHeight w:val="180" w:hRule="exact"/>
              </w:trPr>
              <w:tc>
                <w:tcPr>
                  <w:tcW w:type="dxa" w:w="582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7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4003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P050182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003"/>
                </w:tcPr>
                <w:tbl>
                  <w:tblPr>
                    <w:tblW w:w="400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00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400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High Pro Amnesia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9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74"/>
            <w:shd w:val="clear" w:color="auto" w:fill="FFFFFF"/>
          </w:tcPr>
          <w:tbl>
            <w:tblPr>
              <w:tblW w:w="157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74"/>
            </w:tblGrid>
            <w:tr>
              <w:trPr>
                <w:trHeight w:val="195" w:hRule="exact"/>
              </w:trPr>
              <w:tc>
                <w:tcPr>
                  <w:tcW w:type="dxa" w:w="157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7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74"/>
            </w:tblGrid>
            <w:tr>
              <w:trPr>
                <w:trHeight w:val="435" w:hRule="exact"/>
              </w:trPr>
              <w:tc>
                <w:tcPr>
                  <w:tcW w:type="dxa" w:w="1574"/>
                </w:tcPr>
                <w:tbl>
                  <w:tblPr>
                    <w:tblW w:w="15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4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74"/>
                      </w:tcPr>
                      <w:tbl>
                        <w:tblPr>
                          <w:tblW w:w="157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74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7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19.69 %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901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62"/>
        <w:gridCol w:w="1604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62"/>
            <w:shd w:val="clear" w:color="auto" w:fill="FFFFFF"/>
          </w:tcPr>
          <w:tbl>
            <w:tblPr>
              <w:tblW w:w="38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62"/>
            </w:tblGrid>
            <w:tr>
              <w:trPr>
                <w:trHeight w:val="105" w:hRule="exact"/>
              </w:trPr>
              <w:tc>
                <w:tcPr>
                  <w:tcW w:type="dxa" w:w="38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20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20"/>
                </w:tcPr>
                <w:tbl>
                  <w:tblPr>
                    <w:tblW w:w="180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914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4"/>
                      </w:tcPr>
                      <w:tbl>
                        <w:tblPr>
                          <w:tblW w:w="91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4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914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0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62"/>
        <w:gridCol w:w="1332"/>
        <w:gridCol w:w="2122"/>
        <w:gridCol w:w="1339"/>
        <w:gridCol w:w="3606"/>
        <w:gridCol w:w="468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62"/>
            <w:shd w:val="clear" w:color="auto" w:fill="FFFEFC"/>
          </w:tcPr>
          <w:tbl>
            <w:tblPr>
              <w:tblW w:w="24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62"/>
            </w:tblGrid>
            <w:tr>
              <w:trPr>
                <w:trHeight w:val="104" w:hRule="exact"/>
              </w:trPr>
              <w:tc>
                <w:tcPr>
                  <w:tcW w:type="dxa" w:w="24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3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314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4"/>
                </w:tcPr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31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1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HPA_THC18:CBD1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3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18.00%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1.80%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(16.20 – 19.79 %)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3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606"/>
            <w:shd w:val="clear" w:color="auto" w:fill="FFFEFC"/>
          </w:tcPr>
          <w:tbl>
            <w:tblPr>
              <w:tblW w:w="36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06"/>
            </w:tblGrid>
            <w:tr>
              <w:trPr>
                <w:trHeight w:val="104" w:hRule="exact"/>
              </w:trPr>
              <w:tc>
                <w:tcPr>
                  <w:tcW w:type="dxa" w:w="36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6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660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60"/>
                </w:tcPr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66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66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QCSP_001_HPA-II_v.01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8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P050182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08.2025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10.2025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19.69 %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7.29 %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2.7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2.6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0.034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17.08.2026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ППК25278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19.09.2025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8</w:t>
            </w:r>
          </w:p>
        </w:tc>
      </w:tr>
      <w:tr>
        <w:trPr>
          <w:trHeight w:val="289" w:hRule="exact"/>
        </w:trPr>
        <w:tc>
          <w:tcPr>
            <w:tcW w:type="dxa" w:w="5605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948/1686/25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17.09.2025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4352/2025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15.09.2025</w:t>
            </w:r>
          </w:p>
        </w:tc>
        <w:tc>
          <w:tcPr>
            <w:tcW w:type="dxa" w:w="2580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220-15-К/26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25.08.2026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220-15-М/26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11.09.2026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P050182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2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2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53907" cy="553696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89800">
                                              <a:off x="0" y="0"/>
                                              <a:ext cx="453907" cy="55369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18.09.2026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8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8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95847" cy="557268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35800">
                                              <a:off x="0" y="0"/>
                                              <a:ext cx="595847" cy="557268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18.09.2026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4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0DA5BB3C-3675-470B-94A1-EFB3CD737C87}"/>
    <w:embedItalic r:id="rIdFont2" w:fontKey="{1D295C2E-1C6E-466B-A6BA-8EB6ECD57820}"/>
    <w:embedBold r:id="rIdFont3" w:fontKey="{F0D85257-9B71-4383-BAFE-D3647D0A4446}"/>
  </w:font>
  <w:font w:name="Montserrat ExtraBold">
    <w:charset w:val="00"/>
    <w:family w:val="auto"/>
    <w:pitch w:val="variable"/>
    <w:embedRegular r:id="rIdFont4" w:fontKey="{188DB560-2B95-44F3-A42E-F082F4CBD36F}"/>
  </w:font>
  <w:font w:name="Montserrat Medium">
    <w:charset w:val="00"/>
    <w:family w:val="auto"/>
    <w:pitch w:val="variable"/>
    <w:embedRegular r:id="rIdFont5" w:fontKey="{EE3F4B77-FCDA-4436-9F4C-2E351BC9B4C7}"/>
    <w:embedItalic r:id="rIdFont6" w:fontKey="{CFDB601C-D446-4ECF-ACEA-D5B2E3CEC259}"/>
  </w:font>
  <w:font w:name="Montserrat SemiBold">
    <w:charset w:val="00"/>
    <w:family w:val="auto"/>
    <w:pitch w:val="variable"/>
    <w:embedRegular r:id="rIdFont7" w:fontKey="{A6BAA1B4-3385-4415-9B3B-3AE12484FF14}"/>
    <w:embedItalic r:id="rIdFont8" w:fontKey="{75970E20-499D-4197-86F7-6AF72C29AA85}"/>
  </w:font>
  <w:font w:name="Orbitron">
    <w:charset w:val="00"/>
    <w:family w:val="auto"/>
    <w:pitch w:val="variable"/>
    <w:embedBold r:id="rIdFont9" w:fontKey="{B6459E37-22CA-47E6-AF2B-23FB4198BCB5}"/>
  </w:font>
  <w:font w:name="Orbitron Black">
    <w:charset w:val="00"/>
    <w:family w:val="auto"/>
    <w:pitch w:val="variable"/>
    <w:embedRegular r:id="rIdFont10" w:fontKey="{FB4B0BA7-EF00-4603-B64E-5CC863411993}"/>
  </w:font>
  <w:font w:name="Orbitron ExtraBold">
    <w:charset w:val="00"/>
    <w:family w:val="auto"/>
    <w:pitch w:val="variable"/>
    <w:embedRegular r:id="rIdFont11" w:fontKey="{06DF8570-B554-4B8B-8963-31C47FA13644}"/>
  </w:font>
  <w:font w:name="Orbitron Medium">
    <w:charset w:val="00"/>
    <w:family w:val="auto"/>
    <w:pitch w:val="variable"/>
    <w:embedRegular r:id="rIdFont12" w:fontKey="{685FCBB3-1498-4AEC-911A-B1CA91549640}"/>
  </w:font>
  <w:font w:name="Roboto Mono">
    <w:charset w:val="00"/>
    <w:family w:val="auto"/>
    <w:pitch w:val="variable"/>
    <w:embedRegular r:id="rIdFont13" w:fontKey="{7176A169-9178-4F96-A5D3-A9600D67ED8F}"/>
    <w:embedBold r:id="rIdFont14" w:fontKey="{7DC61C54-F4B6-4CCC-8DC2-D40D8BCDCD9C}"/>
  </w:font>
  <w:font w:name="Roboto Mono Medium">
    <w:charset w:val="00"/>
    <w:family w:val="auto"/>
    <w:pitch w:val="variable"/>
    <w:embedRegular r:id="rIdFont15" w:fontKey="{0B782B6E-9242-42C0-90F3-34E4B3C0E3FC}"/>
    <w:embedItalic r:id="rIdFont16" w:fontKey="{F64E1C42-7EF1-47A2-B7B8-290B48E355F8}"/>
  </w:font>
  <w:font w:name="Roboto Mono SemiBold">
    <w:charset w:val="00"/>
    <w:family w:val="auto"/>
    <w:pitch w:val="variable"/>
    <w:embedRegular r:id="rIdFont17" w:fontKey="{EAD59746-0EB7-47A1-87C4-DBF8DD3B7E5C}"/>
    <w:embedItalic r:id="rIdFont18" w:fontKey="{0E25B8D5-3560-45BF-A5DE-DB17B565FE3D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CoQ-PP_26-121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