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03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CoQ-PP_26-124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18.09.2026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CoQ-PP_26-076 of 07.07.2026)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130"/>
        <w:gridCol w:w="43"/>
        <w:gridCol w:w="1520"/>
        <w:gridCol w:w="4637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130"/>
            <w:shd w:val="clear" w:color="auto" w:fill="FFFFFF"/>
          </w:tcPr>
          <w:tbl>
            <w:tblPr>
              <w:tblW w:w="513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130"/>
            </w:tblGrid>
            <w:tr>
              <w:trPr>
                <w:trHeight w:val="180" w:hRule="exact"/>
              </w:trPr>
              <w:tc>
                <w:tcPr>
                  <w:tcW w:type="dxa" w:w="513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09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307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P060422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307"/>
                </w:tcPr>
                <w:tbl>
                  <w:tblPr>
                    <w:tblW w:w="33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30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3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Jelly Donuts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520"/>
            <w:shd w:val="clear" w:color="auto" w:fill="FFFFFF"/>
          </w:tcPr>
          <w:tbl>
            <w:tblPr>
              <w:tblW w:w="152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20"/>
            </w:tblGrid>
            <w:tr>
              <w:trPr>
                <w:trHeight w:val="195" w:hRule="exact"/>
              </w:trPr>
              <w:tc>
                <w:tcPr>
                  <w:tcW w:type="dxa" w:w="152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2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20"/>
            </w:tblGrid>
            <w:tr>
              <w:trPr>
                <w:trHeight w:val="435" w:hRule="exact"/>
              </w:trPr>
              <w:tc>
                <w:tcPr>
                  <w:tcW w:type="dxa" w:w="1520"/>
                </w:tcPr>
                <w:tbl>
                  <w:tblPr>
                    <w:tblW w:w="152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20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20"/>
                      </w:tcPr>
                      <w:tbl>
                        <w:tblPr>
                          <w:tblW w:w="15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20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2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17.09 %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7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322"/>
        <w:gridCol w:w="145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322"/>
            <w:shd w:val="clear" w:color="auto" w:fill="FFFFFF"/>
          </w:tcPr>
          <w:tbl>
            <w:tblPr>
              <w:tblW w:w="53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322"/>
            </w:tblGrid>
            <w:tr>
              <w:trPr>
                <w:trHeight w:val="105" w:hRule="exact"/>
              </w:trPr>
              <w:tc>
                <w:tcPr>
                  <w:tcW w:type="dxa" w:w="53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2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2374"/>
              <w:gridCol w:w="5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4"/>
                </w:tcPr>
                <w:tbl>
                  <w:tblPr>
                    <w:tblW w:w="23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4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2374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>SATIVA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60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 xml:space="preserve"> : INDICA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40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5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18"/>
        <w:gridCol w:w="2122"/>
        <w:gridCol w:w="1423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JD_THC18:CBD1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18.00%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1.80%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(16.20 – 19.79 %)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QCSP_001_JD-II_v.01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P060422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04.2026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17.09 %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7.04 %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5.1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4.7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0.06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0.03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0.045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0.013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0.01 mg/kg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ППК26111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30.06.2026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406/0789/26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24.06.2026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3662/2026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22.06.2026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220-18-К/26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26.08.2026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220-18-М/26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11.09.2026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P060422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1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1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43526" cy="552820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89800">
                                              <a:off x="0" y="0"/>
                                              <a:ext cx="443526" cy="552820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18.09.2026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7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7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88126" cy="556737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35800">
                                              <a:off x="0" y="0"/>
                                              <a:ext cx="588126" cy="55673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18.09.2026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07EFEBD5-0751-4E0E-AD4C-B68BE868261C}"/>
    <w:embedItalic r:id="rIdFont2" w:fontKey="{5747AD66-8008-4564-A003-EB198A3A0A23}"/>
    <w:embedBold r:id="rIdFont3" w:fontKey="{994A4975-6AC6-445E-A71E-E58CA26C3F2C}"/>
  </w:font>
  <w:font w:name="Montserrat ExtraBold">
    <w:charset w:val="00"/>
    <w:family w:val="auto"/>
    <w:pitch w:val="variable"/>
    <w:embedRegular r:id="rIdFont4" w:fontKey="{FD706336-D6B2-4604-A7C4-D7594F59C67C}"/>
  </w:font>
  <w:font w:name="Montserrat Medium">
    <w:charset w:val="00"/>
    <w:family w:val="auto"/>
    <w:pitch w:val="variable"/>
    <w:embedRegular r:id="rIdFont5" w:fontKey="{ED1B2019-2589-42D1-BF25-3C4BB08D2722}"/>
    <w:embedItalic r:id="rIdFont6" w:fontKey="{381088C1-31B6-470E-9808-1FFFE0B09E98}"/>
  </w:font>
  <w:font w:name="Montserrat SemiBold">
    <w:charset w:val="00"/>
    <w:family w:val="auto"/>
    <w:pitch w:val="variable"/>
    <w:embedRegular r:id="rIdFont7" w:fontKey="{4A1ED758-BAC4-4D80-AF99-6860F4106103}"/>
    <w:embedItalic r:id="rIdFont8" w:fontKey="{D2128F4D-66A3-4E35-87EF-5714D0506CFA}"/>
  </w:font>
  <w:font w:name="Orbitron">
    <w:charset w:val="00"/>
    <w:family w:val="auto"/>
    <w:pitch w:val="variable"/>
    <w:embedBold r:id="rIdFont9" w:fontKey="{EB37FC7F-BA28-46AD-AC0A-B0775B033EDC}"/>
  </w:font>
  <w:font w:name="Orbitron Black">
    <w:charset w:val="00"/>
    <w:family w:val="auto"/>
    <w:pitch w:val="variable"/>
    <w:embedRegular r:id="rIdFont10" w:fontKey="{8B91E746-1C22-43A7-87FB-0BB08CA64EB3}"/>
  </w:font>
  <w:font w:name="Orbitron ExtraBold">
    <w:charset w:val="00"/>
    <w:family w:val="auto"/>
    <w:pitch w:val="variable"/>
    <w:embedRegular r:id="rIdFont11" w:fontKey="{9D4CA890-79CD-41FD-BB49-7E986FA5BF69}"/>
  </w:font>
  <w:font w:name="Orbitron Medium">
    <w:charset w:val="00"/>
    <w:family w:val="auto"/>
    <w:pitch w:val="variable"/>
    <w:embedRegular r:id="rIdFont12" w:fontKey="{82265208-75CE-4B96-8C79-3213601416AE}"/>
  </w:font>
  <w:font w:name="Roboto Mono">
    <w:charset w:val="00"/>
    <w:family w:val="auto"/>
    <w:pitch w:val="variable"/>
    <w:embedRegular r:id="rIdFont13" w:fontKey="{1292C236-97BC-4769-96F8-779EB512FBD4}"/>
    <w:embedBold r:id="rIdFont14" w:fontKey="{6C2608E6-3B26-4171-8398-86F027083219}"/>
  </w:font>
  <w:font w:name="Roboto Mono Medium">
    <w:charset w:val="00"/>
    <w:family w:val="auto"/>
    <w:pitch w:val="variable"/>
    <w:embedRegular r:id="rIdFont15" w:fontKey="{0EBB880E-A508-41F5-9C11-CD3C7B82FE48}"/>
    <w:embedItalic r:id="rIdFont16" w:fontKey="{5E30A080-31A9-4155-91A2-D7D69FAA7C93}"/>
  </w:font>
  <w:font w:name="Roboto Mono SemiBold">
    <w:charset w:val="00"/>
    <w:family w:val="auto"/>
    <w:pitch w:val="variable"/>
    <w:embedRegular r:id="rIdFont17" w:fontKey="{37373A83-E9EB-43B0-9CA3-1ECA15A2A5C0}"/>
    <w:embedItalic r:id="rIdFont18" w:fontKey="{210E6406-736E-4435-B8E7-CF09F4010B99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CoQ-PP_26-124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