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03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CoQ-PP_26-132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18.09.2026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CoQ-PP_26-047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081"/>
        <w:gridCol w:w="44"/>
        <w:gridCol w:w="1577"/>
        <w:gridCol w:w="4628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081"/>
            <w:shd w:val="clear" w:color="auto" w:fill="FFFFFF"/>
          </w:tcPr>
          <w:tbl>
            <w:tblPr>
              <w:tblW w:w="508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081"/>
            </w:tblGrid>
            <w:tr>
              <w:trPr>
                <w:trHeight w:val="180" w:hRule="exact"/>
              </w:trPr>
              <w:tc>
                <w:tcPr>
                  <w:tcW w:type="dxa" w:w="508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0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258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P060112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58"/>
                </w:tcPr>
                <w:tbl>
                  <w:tblPr>
                    <w:tblW w:w="32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5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2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Pure Michigen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77"/>
            <w:shd w:val="clear" w:color="auto" w:fill="FFFFFF"/>
          </w:tcPr>
          <w:tbl>
            <w:tblPr>
              <w:tblW w:w="157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77"/>
            </w:tblGrid>
            <w:tr>
              <w:trPr>
                <w:trHeight w:val="195" w:hRule="exact"/>
              </w:trPr>
              <w:tc>
                <w:tcPr>
                  <w:tcW w:type="dxa" w:w="157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7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77"/>
            </w:tblGrid>
            <w:tr>
              <w:trPr>
                <w:trHeight w:val="435" w:hRule="exact"/>
              </w:trPr>
              <w:tc>
                <w:tcPr>
                  <w:tcW w:type="dxa" w:w="1577"/>
                </w:tcPr>
                <w:tbl>
                  <w:tblPr>
                    <w:tblW w:w="15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77"/>
                      </w:tcPr>
                      <w:tbl>
                        <w:tblPr>
                          <w:tblW w:w="157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77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7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13.95 %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28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62"/>
        <w:gridCol w:w="1372"/>
        <w:gridCol w:w="2122"/>
        <w:gridCol w:w="1379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62"/>
            <w:shd w:val="clear" w:color="auto" w:fill="FFFEFC"/>
          </w:tcPr>
          <w:tbl>
            <w:tblPr>
              <w:tblW w:w="24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62"/>
            </w:tblGrid>
            <w:tr>
              <w:trPr>
                <w:trHeight w:val="104" w:hRule="exact"/>
              </w:trPr>
              <w:tc>
                <w:tcPr>
                  <w:tcW w:type="dxa" w:w="24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3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314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4"/>
                </w:tcPr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31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1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PUM_THC14:CBD1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14.00%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1.40%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(12.60 – 15.39 %)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QCSP_001_PUM-I_v.01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P060112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01.2026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02.2026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13.95 %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6.4 %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5 × 10¹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5 × 10¹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0.078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0.0187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iCoA-PP_26-139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17.08.2026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74/0117/26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09.02.2026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327/2026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11.02.2026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220-25-К/26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26.08.2026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031-2-ГС/26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11.02.2026</w:t>
            </w:r>
          </w:p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220-25-М/26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11.09.2026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P060112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6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6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82380" cy="556102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89800">
                                              <a:off x="0" y="0"/>
                                              <a:ext cx="482380" cy="55610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18.09.2026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5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5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74976" cy="555752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35200">
                                              <a:off x="0" y="0"/>
                                              <a:ext cx="574976" cy="55575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18.09.2026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5EFF21B9-3843-4C9C-9F2A-2369E3ED727D}"/>
    <w:embedItalic r:id="rIdFont2" w:fontKey="{BCADBDCF-BC76-46FA-B340-D058B898F9E5}"/>
    <w:embedBold r:id="rIdFont3" w:fontKey="{DE411A14-0329-4A33-B783-5D269358A3C0}"/>
  </w:font>
  <w:font w:name="Montserrat ExtraBold">
    <w:charset w:val="00"/>
    <w:family w:val="auto"/>
    <w:pitch w:val="variable"/>
    <w:embedRegular r:id="rIdFont4" w:fontKey="{853791CD-A9FC-493F-8FA9-3E74E4A06C3C}"/>
  </w:font>
  <w:font w:name="Montserrat Medium">
    <w:charset w:val="00"/>
    <w:family w:val="auto"/>
    <w:pitch w:val="variable"/>
    <w:embedRegular r:id="rIdFont5" w:fontKey="{2F9CC0A8-ADFE-45DD-AD46-4D2F3E6672E2}"/>
    <w:embedItalic r:id="rIdFont6" w:fontKey="{CA2EE19F-4661-43D9-87E5-37B437C022C7}"/>
  </w:font>
  <w:font w:name="Montserrat SemiBold">
    <w:charset w:val="00"/>
    <w:family w:val="auto"/>
    <w:pitch w:val="variable"/>
    <w:embedRegular r:id="rIdFont7" w:fontKey="{D6029E23-404C-4029-8BEF-B56091D6BCCB}"/>
    <w:embedItalic r:id="rIdFont8" w:fontKey="{96D09692-B7D9-4CAA-85D2-9F84798E9A5E}"/>
  </w:font>
  <w:font w:name="Orbitron">
    <w:charset w:val="00"/>
    <w:family w:val="auto"/>
    <w:pitch w:val="variable"/>
    <w:embedBold r:id="rIdFont9" w:fontKey="{62092B2D-19F3-4E24-94B6-8D0CF8D583B1}"/>
  </w:font>
  <w:font w:name="Orbitron Black">
    <w:charset w:val="00"/>
    <w:family w:val="auto"/>
    <w:pitch w:val="variable"/>
    <w:embedRegular r:id="rIdFont10" w:fontKey="{3B7AA695-3A98-478C-9240-51139450AA6D}"/>
  </w:font>
  <w:font w:name="Orbitron ExtraBold">
    <w:charset w:val="00"/>
    <w:family w:val="auto"/>
    <w:pitch w:val="variable"/>
    <w:embedRegular r:id="rIdFont11" w:fontKey="{3249F459-6342-4FD7-A418-FF545683E918}"/>
  </w:font>
  <w:font w:name="Orbitron Medium">
    <w:charset w:val="00"/>
    <w:family w:val="auto"/>
    <w:pitch w:val="variable"/>
    <w:embedRegular r:id="rIdFont12" w:fontKey="{6E59B1D4-6FC8-492C-BADE-1183A6B94160}"/>
  </w:font>
  <w:font w:name="Roboto Mono">
    <w:charset w:val="00"/>
    <w:family w:val="auto"/>
    <w:pitch w:val="variable"/>
    <w:embedRegular r:id="rIdFont13" w:fontKey="{F2086826-171E-4A68-9E71-C03C5309D985}"/>
    <w:embedBold r:id="rIdFont14" w:fontKey="{01101854-5D03-4187-AF64-18B828876BB4}"/>
  </w:font>
  <w:font w:name="Roboto Mono Medium">
    <w:charset w:val="00"/>
    <w:family w:val="auto"/>
    <w:pitch w:val="variable"/>
    <w:embedRegular r:id="rIdFont15" w:fontKey="{402265E0-EB20-4948-A6BA-B8233EB54143}"/>
    <w:embedItalic r:id="rIdFont16" w:fontKey="{DDFAFE42-615D-4AD8-8694-21BFA2E31409}"/>
  </w:font>
  <w:font w:name="Roboto Mono SemiBold">
    <w:charset w:val="00"/>
    <w:family w:val="auto"/>
    <w:pitch w:val="variable"/>
    <w:embedRegular r:id="rIdFont17" w:fontKey="{679E072E-D057-4C20-B76D-6A5555EA0F85}"/>
    <w:embedItalic r:id="rIdFont18" w:fontKey="{D7B0C0CE-7475-4233-BD41-0FCBA5783D25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CoQ-PP_26-132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