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577"/>
        <w:gridCol w:w="276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7"/>
            <w:shd w:val="clear" w:color="auto" w:fill="FFFFFF"/>
          </w:tcPr>
          <w:tbl>
            <w:tblPr>
              <w:tblW w:w="15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7"/>
            </w:tblGrid>
            <w:tr>
              <w:trPr>
                <w:trHeight w:val="195" w:hRule="exact"/>
              </w:trPr>
              <w:tc>
                <w:tcPr>
                  <w:tcW w:type="dxa" w:w="15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7"/>
            </w:tblGrid>
            <w:tr>
              <w:trPr>
                <w:trHeight w:val="435" w:hRule="exact"/>
              </w:trPr>
              <w:tc>
                <w:tcPr>
                  <w:tcW w:type="dxa" w:w="1577"/>
                </w:tcPr>
                <w:tbl>
                  <w:tblPr>
                    <w:tblW w:w="15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7"/>
                      </w:tcPr>
                      <w:tbl>
                        <w:tblPr>
                          <w:tblW w:w="157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26.10 %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6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1.93%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(26.07 – 29.92 %)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26.10 %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0.20 %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iCoA-PP_26-164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ППК25176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10.07.2025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561/1092/26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0476" cy="55171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30476" cy="55171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51665" cy="55415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51665" cy="55415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F475A74-CC74-490A-9692-20A5FC1AB330}"/>
    <w:embedItalic r:id="rIdFont2" w:fontKey="{282A87B2-918F-4F74-874E-5611FB1AAAD3}"/>
    <w:embedBold r:id="rIdFont3" w:fontKey="{8C522D20-57CB-417A-881E-3293F5049F99}"/>
  </w:font>
  <w:font w:name="Montserrat ExtraBold">
    <w:charset w:val="00"/>
    <w:family w:val="auto"/>
    <w:pitch w:val="variable"/>
    <w:embedRegular r:id="rIdFont4" w:fontKey="{05E024DF-7430-4869-8357-8B886A866843}"/>
  </w:font>
  <w:font w:name="Montserrat Medium">
    <w:charset w:val="00"/>
    <w:family w:val="auto"/>
    <w:pitch w:val="variable"/>
    <w:embedRegular r:id="rIdFont5" w:fontKey="{66198565-6144-4ECE-859E-333B47852D5A}"/>
    <w:embedItalic r:id="rIdFont6" w:fontKey="{4159F4A9-278D-4F08-A779-ABC7E65920DE}"/>
  </w:font>
  <w:font w:name="Montserrat SemiBold">
    <w:charset w:val="00"/>
    <w:family w:val="auto"/>
    <w:pitch w:val="variable"/>
    <w:embedRegular r:id="rIdFont7" w:fontKey="{F4F41DC0-CBDF-48B8-9F82-78A8B061964D}"/>
    <w:embedItalic r:id="rIdFont8" w:fontKey="{6D9896FC-7DCE-4A2E-A4AB-58A6FA29D91D}"/>
  </w:font>
  <w:font w:name="Orbitron">
    <w:charset w:val="00"/>
    <w:family w:val="auto"/>
    <w:pitch w:val="variable"/>
    <w:embedBold r:id="rIdFont9" w:fontKey="{04AF6CDE-F918-475C-B411-A85CC694212A}"/>
  </w:font>
  <w:font w:name="Orbitron Black">
    <w:charset w:val="00"/>
    <w:family w:val="auto"/>
    <w:pitch w:val="variable"/>
    <w:embedRegular r:id="rIdFont10" w:fontKey="{3C11E6A2-C6F8-4BA6-8680-12CDFE46112C}"/>
  </w:font>
  <w:font w:name="Orbitron ExtraBold">
    <w:charset w:val="00"/>
    <w:family w:val="auto"/>
    <w:pitch w:val="variable"/>
    <w:embedRegular r:id="rIdFont11" w:fontKey="{A325D4C2-CAB6-4A37-AB40-F2E16DCB7B31}"/>
  </w:font>
  <w:font w:name="Orbitron Medium">
    <w:charset w:val="00"/>
    <w:family w:val="auto"/>
    <w:pitch w:val="variable"/>
    <w:embedRegular r:id="rIdFont12" w:fontKey="{B544CD48-9EA3-4797-82D9-5A9974CF86BF}"/>
  </w:font>
  <w:font w:name="Roboto Mono">
    <w:charset w:val="00"/>
    <w:family w:val="auto"/>
    <w:pitch w:val="variable"/>
    <w:embedRegular r:id="rIdFont13" w:fontKey="{C96B20EC-1E09-41FB-8E16-0CD95AD5A8A4}"/>
    <w:embedBold r:id="rIdFont14" w:fontKey="{1286C887-E3CD-4706-B41E-7761A443B667}"/>
  </w:font>
  <w:font w:name="Roboto Mono Medium">
    <w:charset w:val="00"/>
    <w:family w:val="auto"/>
    <w:pitch w:val="variable"/>
    <w:embedRegular r:id="rIdFont15" w:fontKey="{7BBD0563-D9FE-4F52-B107-6004C0C358EE}"/>
    <w:embedItalic r:id="rIdFont16" w:fontKey="{D2528A6E-3186-434B-9BC8-58640BCE7A46}"/>
  </w:font>
  <w:font w:name="Roboto Mono SemiBold">
    <w:charset w:val="00"/>
    <w:family w:val="auto"/>
    <w:pitch w:val="variable"/>
    <w:embedRegular r:id="rIdFont17" w:fontKey="{29CA703C-CA4B-40D6-9CF7-3E0A81923599}"/>
    <w:embedItalic r:id="rIdFont18" w:fontKey="{7A600D37-0F9C-4E00-A3FE-2A4CD7D0F76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