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CoQ-PP_26-144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CoQ-PP_26-075 of 07.07.2026)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292"/>
        <w:gridCol w:w="39"/>
        <w:gridCol w:w="1422"/>
        <w:gridCol w:w="457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292"/>
            <w:shd w:val="clear" w:color="auto" w:fill="FFFFFF"/>
          </w:tcPr>
          <w:tbl>
            <w:tblPr>
              <w:tblW w:w="52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292"/>
            </w:tblGrid>
            <w:tr>
              <w:trPr>
                <w:trHeight w:val="180" w:hRule="exact"/>
              </w:trPr>
              <w:tc>
                <w:tcPr>
                  <w:tcW w:type="dxa" w:w="52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79"/>
              <w:gridCol w:w="35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979"/>
                </w:tcPr>
                <w:tbl>
                  <w:tblPr>
                    <w:tblW w:w="19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79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97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FB012603V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2"/>
            <w:shd w:val="clear" w:color="auto" w:fill="FFFFFF"/>
          </w:tcPr>
          <w:tbl>
            <w:tblPr>
              <w:tblW w:w="14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2"/>
            </w:tblGrid>
            <w:tr>
              <w:trPr>
                <w:trHeight w:val="195" w:hRule="exact"/>
              </w:trPr>
              <w:tc>
                <w:tcPr>
                  <w:tcW w:type="dxa" w:w="14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2"/>
            </w:tblGrid>
            <w:tr>
              <w:trPr>
                <w:trHeight w:val="435" w:hRule="exact"/>
              </w:trPr>
              <w:tc>
                <w:tcPr>
                  <w:tcW w:type="dxa" w:w="1422"/>
                </w:tcPr>
                <w:tbl>
                  <w:tblPr>
                    <w:tblW w:w="14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2"/>
                      </w:tcPr>
                      <w:tbl>
                        <w:tblPr>
                          <w:tblW w:w="14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19.31 %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QCSP_001_FB-II_v.01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501"/>
        <w:gridCol w:w="469"/>
        <w:gridCol w:w="1642"/>
        <w:gridCol w:w="486"/>
        <w:gridCol w:w="1391"/>
        <w:gridCol w:w="491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501"/>
            <w:shd w:val="clear" w:color="auto" w:fill="FFFEFC"/>
          </w:tcPr>
          <w:tbl>
            <w:tblPr>
              <w:tblW w:w="25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01"/>
            </w:tblGrid>
            <w:tr>
              <w:trPr>
                <w:trHeight w:val="76" w:hRule="exact"/>
              </w:trPr>
              <w:tc>
                <w:tcPr>
                  <w:tcW w:type="dxa" w:w="25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858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58"/>
                </w:tcPr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85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8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FB012603V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19.31 %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2.9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0.038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538/1069/26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3663/2026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227-23-К/26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227-23-М/26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FB012603V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2465" cy="55617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82465" cy="55617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4976" cy="55575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574976" cy="5557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39C60CA-5CF4-419C-AF3B-9DAFCB4EEF26}"/>
    <w:embedItalic r:id="rIdFont2" w:fontKey="{0495E003-10AC-482D-9E48-8EB0B100A3EB}"/>
    <w:embedBold r:id="rIdFont3" w:fontKey="{9898B08B-412B-466C-9F40-AFDD6648A58E}"/>
  </w:font>
  <w:font w:name="Montserrat ExtraBold">
    <w:charset w:val="00"/>
    <w:family w:val="auto"/>
    <w:pitch w:val="variable"/>
    <w:embedRegular r:id="rIdFont4" w:fontKey="{B0239C7A-4C0C-4EF2-94DE-BA28FF98F5EE}"/>
  </w:font>
  <w:font w:name="Montserrat Medium">
    <w:charset w:val="00"/>
    <w:family w:val="auto"/>
    <w:pitch w:val="variable"/>
    <w:embedRegular r:id="rIdFont5" w:fontKey="{4E3291CE-5CF3-4999-ABCD-70D94ACD5C05}"/>
    <w:embedItalic r:id="rIdFont6" w:fontKey="{C2EC2390-EDE2-4CE0-B538-37263BF3AF9D}"/>
  </w:font>
  <w:font w:name="Montserrat SemiBold">
    <w:charset w:val="00"/>
    <w:family w:val="auto"/>
    <w:pitch w:val="variable"/>
    <w:embedRegular r:id="rIdFont7" w:fontKey="{EACCA2A7-06C5-48FE-82C5-6F995F426FD7}"/>
    <w:embedItalic r:id="rIdFont8" w:fontKey="{AA8CB942-0279-4AD6-A141-A5804A72DBCC}"/>
  </w:font>
  <w:font w:name="Orbitron">
    <w:charset w:val="00"/>
    <w:family w:val="auto"/>
    <w:pitch w:val="variable"/>
    <w:embedBold r:id="rIdFont9" w:fontKey="{851A9BB9-BC77-449F-9277-ECFCC04797F7}"/>
  </w:font>
  <w:font w:name="Orbitron Black">
    <w:charset w:val="00"/>
    <w:family w:val="auto"/>
    <w:pitch w:val="variable"/>
    <w:embedRegular r:id="rIdFont10" w:fontKey="{49713E07-CC20-4751-AFC5-EA806066D22A}"/>
  </w:font>
  <w:font w:name="Orbitron ExtraBold">
    <w:charset w:val="00"/>
    <w:family w:val="auto"/>
    <w:pitch w:val="variable"/>
    <w:embedRegular r:id="rIdFont11" w:fontKey="{93257E37-8C71-4360-B21B-A3BC077A5CCA}"/>
  </w:font>
  <w:font w:name="Orbitron Medium">
    <w:charset w:val="00"/>
    <w:family w:val="auto"/>
    <w:pitch w:val="variable"/>
    <w:embedRegular r:id="rIdFont12" w:fontKey="{5627CF24-6582-4459-9F89-5A267A4BD387}"/>
  </w:font>
  <w:font w:name="Roboto Mono">
    <w:charset w:val="00"/>
    <w:family w:val="auto"/>
    <w:pitch w:val="variable"/>
    <w:embedRegular r:id="rIdFont13" w:fontKey="{E950E0E6-1F99-4CE5-B69A-787A550B001C}"/>
    <w:embedBold r:id="rIdFont14" w:fontKey="{59933284-0AD3-44B4-9659-5A2508D8A124}"/>
  </w:font>
  <w:font w:name="Roboto Mono Medium">
    <w:charset w:val="00"/>
    <w:family w:val="auto"/>
    <w:pitch w:val="variable"/>
    <w:embedRegular r:id="rIdFont15" w:fontKey="{00EB6FDC-A037-4306-A1A8-D489B55C7083}"/>
    <w:embedItalic r:id="rIdFont16" w:fontKey="{9C58234D-2702-46E5-B775-F7BB49388282}"/>
  </w:font>
  <w:font w:name="Roboto Mono SemiBold">
    <w:charset w:val="00"/>
    <w:family w:val="auto"/>
    <w:pitch w:val="variable"/>
    <w:embedRegular r:id="rIdFont17" w:fontKey="{8D587B59-B752-4FBB-A380-DB850635BA14}"/>
    <w:embedItalic r:id="rIdFont18" w:fontKey="{43D8F741-B0FB-488C-B9B2-5FD3FD81B94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CoQ-PP_26-144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