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CoQ-PP_26-147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456"/>
        <w:gridCol w:w="488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56"/>
            <w:shd w:val="clear" w:color="auto" w:fill="FFFFFF"/>
          </w:tcPr>
          <w:tbl>
            <w:tblPr>
              <w:tblW w:w="14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6"/>
            </w:tblGrid>
            <w:tr>
              <w:trPr>
                <w:trHeight w:val="195" w:hRule="exact"/>
              </w:trPr>
              <w:tc>
                <w:tcPr>
                  <w:tcW w:type="dxa" w:w="14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6"/>
            </w:tblGrid>
            <w:tr>
              <w:trPr>
                <w:trHeight w:val="435" w:hRule="exact"/>
              </w:trPr>
              <w:tc>
                <w:tcPr>
                  <w:tcW w:type="dxa" w:w="1456"/>
                </w:tcPr>
                <w:tbl>
                  <w:tblPr>
                    <w:tblW w:w="145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56"/>
                      </w:tcPr>
                      <w:tbl>
                        <w:tblPr>
                          <w:tblW w:w="145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5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5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17.76 %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8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17.76 %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0.26 %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iCoA-PP_26-153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ППК25140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564/1095/26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2472/2025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30.05.2025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227-19-М/26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2465" cy="556171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82465" cy="5561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0960" cy="55753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600960" cy="55753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465E957-08D2-4BA5-9E5E-05C6A84C9F56}"/>
    <w:embedItalic r:id="rIdFont2" w:fontKey="{7FD5804D-4F60-48BB-9404-90FE75EA4269}"/>
    <w:embedBold r:id="rIdFont3" w:fontKey="{76853472-9569-4602-A441-F97610203E7F}"/>
  </w:font>
  <w:font w:name="Montserrat ExtraBold">
    <w:charset w:val="00"/>
    <w:family w:val="auto"/>
    <w:pitch w:val="variable"/>
    <w:embedRegular r:id="rIdFont4" w:fontKey="{1CA29661-E8E4-4848-883E-CDBDE30FF21D}"/>
  </w:font>
  <w:font w:name="Montserrat Medium">
    <w:charset w:val="00"/>
    <w:family w:val="auto"/>
    <w:pitch w:val="variable"/>
    <w:embedRegular r:id="rIdFont5" w:fontKey="{1FA9CBD8-7AE8-491F-9999-38EBEFBEE6FC}"/>
    <w:embedItalic r:id="rIdFont6" w:fontKey="{12F0EEF8-F4A0-4978-A140-BF7DAA0B26A1}"/>
  </w:font>
  <w:font w:name="Montserrat SemiBold">
    <w:charset w:val="00"/>
    <w:family w:val="auto"/>
    <w:pitch w:val="variable"/>
    <w:embedRegular r:id="rIdFont7" w:fontKey="{339178B8-5998-46FF-9B17-38777009E4EB}"/>
    <w:embedItalic r:id="rIdFont8" w:fontKey="{C18D3DD7-EF82-4CC4-8AA5-36137AA05939}"/>
  </w:font>
  <w:font w:name="Orbitron">
    <w:charset w:val="00"/>
    <w:family w:val="auto"/>
    <w:pitch w:val="variable"/>
    <w:embedBold r:id="rIdFont9" w:fontKey="{288705C1-A37E-4EFB-A789-E18C3FBBEF13}"/>
  </w:font>
  <w:font w:name="Orbitron Black">
    <w:charset w:val="00"/>
    <w:family w:val="auto"/>
    <w:pitch w:val="variable"/>
    <w:embedRegular r:id="rIdFont10" w:fontKey="{D7AC307E-2140-42EC-B32B-B7D2CE70B1D0}"/>
  </w:font>
  <w:font w:name="Orbitron ExtraBold">
    <w:charset w:val="00"/>
    <w:family w:val="auto"/>
    <w:pitch w:val="variable"/>
    <w:embedRegular r:id="rIdFont11" w:fontKey="{AA14DA98-108C-46DE-A5A7-5ED77F47831F}"/>
  </w:font>
  <w:font w:name="Orbitron Medium">
    <w:charset w:val="00"/>
    <w:family w:val="auto"/>
    <w:pitch w:val="variable"/>
    <w:embedRegular r:id="rIdFont12" w:fontKey="{EF572A69-33F0-411E-9225-70E0B5B99874}"/>
  </w:font>
  <w:font w:name="Roboto Mono">
    <w:charset w:val="00"/>
    <w:family w:val="auto"/>
    <w:pitch w:val="variable"/>
    <w:embedRegular r:id="rIdFont13" w:fontKey="{6124CD80-2244-4DAA-A127-A13DCE0F099A}"/>
    <w:embedBold r:id="rIdFont14" w:fontKey="{29683BDA-EC86-4E05-AD96-02613AC3D482}"/>
  </w:font>
  <w:font w:name="Roboto Mono Medium">
    <w:charset w:val="00"/>
    <w:family w:val="auto"/>
    <w:pitch w:val="variable"/>
    <w:embedRegular r:id="rIdFont15" w:fontKey="{DA364913-B904-444A-8C41-B46CE2FABAC1}"/>
    <w:embedItalic r:id="rIdFont16" w:fontKey="{A2206564-2AED-49DC-9E45-8F53D7FE90F6}"/>
  </w:font>
  <w:font w:name="Roboto Mono SemiBold">
    <w:charset w:val="00"/>
    <w:family w:val="auto"/>
    <w:pitch w:val="variable"/>
    <w:embedRegular r:id="rIdFont17" w:fontKey="{1E34192C-88A4-4EF1-95FA-81DE7591E7AD}"/>
    <w:embedItalic r:id="rIdFont18" w:fontKey="{DF7DD1AC-67C0-47F4-9890-38666D1F1A0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CoQ-PP_26-147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