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CoQ-PP_26-158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CoQ-PP_26-058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7388"/>
        <w:gridCol w:w="1379"/>
        <w:gridCol w:w="256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7388"/>
            <w:shd w:val="clear" w:color="auto" w:fill="FFFFFF"/>
          </w:tcPr>
          <w:tbl>
            <w:tblPr>
              <w:tblW w:w="738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88"/>
            </w:tblGrid>
            <w:tr>
              <w:trPr>
                <w:trHeight w:val="180" w:hRule="exact"/>
              </w:trPr>
              <w:tc>
                <w:tcPr>
                  <w:tcW w:type="dxa" w:w="738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73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79"/>
              <w:gridCol w:w="35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979"/>
                </w:tcPr>
                <w:tbl>
                  <w:tblPr>
                    <w:tblW w:w="19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79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97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OPM112501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FFF"/>
          </w:tcPr>
          <w:tbl>
            <w:tblPr>
              <w:tblW w:w="13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79"/>
            </w:tblGrid>
            <w:tr>
              <w:trPr>
                <w:trHeight w:val="195" w:hRule="exact"/>
              </w:trPr>
              <w:tc>
                <w:tcPr>
                  <w:tcW w:type="dxa" w:w="137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79"/>
            </w:tblGrid>
            <w:tr>
              <w:trPr>
                <w:trHeight w:val="435" w:hRule="exact"/>
              </w:trPr>
              <w:tc>
                <w:tcPr>
                  <w:tcW w:type="dxa" w:w="1379"/>
                </w:tcPr>
                <w:tbl>
                  <w:tblPr>
                    <w:tblW w:w="13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7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379"/>
                      </w:tcPr>
                      <w:tbl>
                        <w:tblPr>
                          <w:tblW w:w="137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7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37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9.73 %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56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1"/>
        <w:gridCol w:w="2042"/>
        <w:gridCol w:w="1380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OPM_THC10:CBD1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042"/>
            <w:shd w:val="clear" w:color="auto" w:fill="FFFEFC"/>
          </w:tcPr>
          <w:tbl>
            <w:tblPr>
              <w:tblW w:w="20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42"/>
            </w:tblGrid>
            <w:tr>
              <w:trPr>
                <w:trHeight w:val="45" w:hRule="exact"/>
              </w:trPr>
              <w:tc>
                <w:tcPr>
                  <w:tcW w:type="dxa" w:w="20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1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7"/>
                </w:tcPr>
                <w:tbl>
                  <w:tblPr>
                    <w:tblW w:w="13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17"/>
                      </w:tcPr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(9.00 – 10.99 %)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501"/>
        <w:gridCol w:w="469"/>
        <w:gridCol w:w="1642"/>
        <w:gridCol w:w="486"/>
        <w:gridCol w:w="1391"/>
        <w:gridCol w:w="491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501"/>
            <w:shd w:val="clear" w:color="auto" w:fill="FFFEFC"/>
          </w:tcPr>
          <w:tbl>
            <w:tblPr>
              <w:tblW w:w="25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01"/>
            </w:tblGrid>
            <w:tr>
              <w:trPr>
                <w:trHeight w:val="76" w:hRule="exact"/>
              </w:trPr>
              <w:tc>
                <w:tcPr>
                  <w:tcW w:type="dxa" w:w="250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858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58"/>
                </w:tcPr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85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8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9.73 %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8.06 %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iCoA-PP_26-145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ППК26031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546/1077/26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1062/2026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11.03.2026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227-10-К/26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227-10-М/26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OPM112501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0180" cy="5508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20180" cy="5508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5763" cy="55717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95763" cy="55717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48266F5-6282-4BFC-965D-8970A900A4DB}"/>
    <w:embedItalic r:id="rIdFont2" w:fontKey="{FFF22496-F69D-4490-AB60-15512FB41F58}"/>
    <w:embedBold r:id="rIdFont3" w:fontKey="{38C87442-4908-431B-9C49-126BFC7746EE}"/>
  </w:font>
  <w:font w:name="Montserrat ExtraBold">
    <w:charset w:val="00"/>
    <w:family w:val="auto"/>
    <w:pitch w:val="variable"/>
    <w:embedRegular r:id="rIdFont4" w:fontKey="{3CA9B644-4780-422C-8C80-F320216FB8D0}"/>
  </w:font>
  <w:font w:name="Montserrat Medium">
    <w:charset w:val="00"/>
    <w:family w:val="auto"/>
    <w:pitch w:val="variable"/>
    <w:embedRegular r:id="rIdFont5" w:fontKey="{6C748FC0-C2D6-43BA-AFA2-9158BA7061E6}"/>
    <w:embedItalic r:id="rIdFont6" w:fontKey="{37A79C55-B3A3-464D-87E5-84534EB65AC9}"/>
  </w:font>
  <w:font w:name="Montserrat SemiBold">
    <w:charset w:val="00"/>
    <w:family w:val="auto"/>
    <w:pitch w:val="variable"/>
    <w:embedRegular r:id="rIdFont7" w:fontKey="{0A7545E9-A671-4DE0-8AAE-3A9982F9763D}"/>
    <w:embedItalic r:id="rIdFont8" w:fontKey="{DBAC1E79-C2D4-4289-BB9C-4CD577EFDE71}"/>
  </w:font>
  <w:font w:name="Orbitron">
    <w:charset w:val="00"/>
    <w:family w:val="auto"/>
    <w:pitch w:val="variable"/>
    <w:embedBold r:id="rIdFont9" w:fontKey="{ABEA07F1-E4EE-4450-AEFC-AD8CFF76CD79}"/>
  </w:font>
  <w:font w:name="Orbitron Black">
    <w:charset w:val="00"/>
    <w:family w:val="auto"/>
    <w:pitch w:val="variable"/>
    <w:embedRegular r:id="rIdFont10" w:fontKey="{50CF2497-5DBF-4CBD-9073-1DB7626F601F}"/>
  </w:font>
  <w:font w:name="Orbitron ExtraBold">
    <w:charset w:val="00"/>
    <w:family w:val="auto"/>
    <w:pitch w:val="variable"/>
    <w:embedRegular r:id="rIdFont11" w:fontKey="{58E82BE2-DFFF-43BA-90DB-D8BCFC0D004E}"/>
  </w:font>
  <w:font w:name="Orbitron Medium">
    <w:charset w:val="00"/>
    <w:family w:val="auto"/>
    <w:pitch w:val="variable"/>
    <w:embedRegular r:id="rIdFont12" w:fontKey="{84A812EB-D793-4E40-B4D4-940B40C634BA}"/>
  </w:font>
  <w:font w:name="Roboto Mono">
    <w:charset w:val="00"/>
    <w:family w:val="auto"/>
    <w:pitch w:val="variable"/>
    <w:embedRegular r:id="rIdFont13" w:fontKey="{211EDF02-CC7B-45BE-BB91-D67B4278022F}"/>
    <w:embedBold r:id="rIdFont14" w:fontKey="{257A2EE0-AD4B-452F-AA20-15D0C82C52FF}"/>
  </w:font>
  <w:font w:name="Roboto Mono Medium">
    <w:charset w:val="00"/>
    <w:family w:val="auto"/>
    <w:pitch w:val="variable"/>
    <w:embedRegular r:id="rIdFont15" w:fontKey="{86AAF7F3-6067-49E2-97D9-D2C9A99CBB43}"/>
    <w:embedItalic r:id="rIdFont16" w:fontKey="{E58B1742-946C-43E0-9C54-7355EA0E022F}"/>
  </w:font>
  <w:font w:name="Roboto Mono SemiBold">
    <w:charset w:val="00"/>
    <w:family w:val="auto"/>
    <w:pitch w:val="variable"/>
    <w:embedRegular r:id="rIdFont17" w:fontKey="{46D95AE3-F65E-4DB2-B9EA-3072D123E854}"/>
    <w:embedItalic r:id="rIdFont18" w:fontKey="{51D21B99-930A-4FE8-AAF8-A6B085ED5F0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CoQ-PP_26-158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