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CoQ-PP_26-171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CoQ-PP_26-166 of ≥ 11.05.2026)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394"/>
        <w:gridCol w:w="57"/>
        <w:gridCol w:w="1545"/>
        <w:gridCol w:w="533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394"/>
            <w:shd w:val="clear" w:color="auto" w:fill="FFFFFF"/>
          </w:tcPr>
          <w:tbl>
            <w:tblPr>
              <w:tblW w:w="43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394"/>
            </w:tblGrid>
            <w:tr>
              <w:trPr>
                <w:trHeight w:val="180" w:hRule="exact"/>
              </w:trPr>
              <w:tc>
                <w:tcPr>
                  <w:tcW w:type="dxa" w:w="439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3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CC042601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45"/>
            <w:shd w:val="clear" w:color="auto" w:fill="FFFFFF"/>
          </w:tcPr>
          <w:tbl>
            <w:tblPr>
              <w:tblW w:w="15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5"/>
            </w:tblGrid>
            <w:tr>
              <w:trPr>
                <w:trHeight w:val="195" w:hRule="exact"/>
              </w:trPr>
              <w:tc>
                <w:tcPr>
                  <w:tcW w:type="dxa" w:w="15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5"/>
            </w:tblGrid>
            <w:tr>
              <w:trPr>
                <w:trHeight w:val="435" w:hRule="exact"/>
              </w:trPr>
              <w:tc>
                <w:tcPr>
                  <w:tcW w:type="dxa" w:w="1545"/>
                </w:tcPr>
                <w:tbl>
                  <w:tblPr>
                    <w:tblW w:w="15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45"/>
                      </w:tcPr>
                      <w:tbl>
                        <w:tblPr>
                          <w:tblW w:w="154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4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4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14.90 %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3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10"/>
        <w:gridCol w:w="157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10"/>
            <w:shd w:val="clear" w:color="auto" w:fill="FFFFFF"/>
          </w:tcPr>
          <w:tbl>
            <w:tblPr>
              <w:tblW w:w="53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10"/>
            </w:tblGrid>
            <w:tr>
              <w:trPr>
                <w:trHeight w:val="105" w:hRule="exact"/>
              </w:trPr>
              <w:tc>
                <w:tcPr>
                  <w:tcW w:type="dxa" w:w="53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61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1"/>
                </w:tcPr>
                <w:tbl>
                  <w:tblPr>
                    <w:tblW w:w="2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1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61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70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30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CC_THC14:CBD1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1.35%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(12.65 – 15.34 %)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QCSP_001_CC-II_v.01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14.90 %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iCoA-PP_26-134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220-32-К/26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220-32-М/26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CC042601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46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5974" cy="56416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1000">
                                              <a:off x="0" y="0"/>
                                              <a:ext cx="575974" cy="56416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5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5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1168" cy="54379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4600">
                                              <a:off x="0" y="0"/>
                                              <a:ext cx="401168" cy="54379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6D163B5-0489-4247-9DC6-6D8CF9D0E048}"/>
    <w:embedItalic r:id="rIdFont2" w:fontKey="{ECFE5796-AAE2-48EB-9D2D-5CC1A66003B5}"/>
    <w:embedBold r:id="rIdFont3" w:fontKey="{F33069F3-3912-425D-9C03-47A49FCBB4EB}"/>
  </w:font>
  <w:font w:name="Montserrat ExtraBold">
    <w:charset w:val="00"/>
    <w:family w:val="auto"/>
    <w:pitch w:val="variable"/>
    <w:embedRegular r:id="rIdFont4" w:fontKey="{FCD299A3-D2D3-4B7D-B990-DA7A0CAE2EC3}"/>
  </w:font>
  <w:font w:name="Montserrat Medium">
    <w:charset w:val="00"/>
    <w:family w:val="auto"/>
    <w:pitch w:val="variable"/>
    <w:embedRegular r:id="rIdFont5" w:fontKey="{74A8C950-CF89-4B93-A172-90DAC1659F52}"/>
    <w:embedItalic r:id="rIdFont6" w:fontKey="{B7409D0D-E2E3-4485-94FD-90A035A54AC2}"/>
  </w:font>
  <w:font w:name="Montserrat SemiBold">
    <w:charset w:val="00"/>
    <w:family w:val="auto"/>
    <w:pitch w:val="variable"/>
    <w:embedRegular r:id="rIdFont7" w:fontKey="{AA1B9ADB-E09A-467E-B3E7-7C548CE8136D}"/>
    <w:embedItalic r:id="rIdFont8" w:fontKey="{EE776D99-79E4-404B-9578-EB64C5BAF2D5}"/>
  </w:font>
  <w:font w:name="Orbitron">
    <w:charset w:val="00"/>
    <w:family w:val="auto"/>
    <w:pitch w:val="variable"/>
    <w:embedBold r:id="rIdFont9" w:fontKey="{FE69631F-0720-47C7-B103-778CECC5387F}"/>
  </w:font>
  <w:font w:name="Orbitron Black">
    <w:charset w:val="00"/>
    <w:family w:val="auto"/>
    <w:pitch w:val="variable"/>
    <w:embedRegular r:id="rIdFont10" w:fontKey="{BD0D498C-642D-4B6B-B790-9A75293D1E20}"/>
  </w:font>
  <w:font w:name="Orbitron ExtraBold">
    <w:charset w:val="00"/>
    <w:family w:val="auto"/>
    <w:pitch w:val="variable"/>
    <w:embedRegular r:id="rIdFont11" w:fontKey="{81714EAF-4DE4-45B9-988B-D6D6A3D140F1}"/>
  </w:font>
  <w:font w:name="Orbitron Medium">
    <w:charset w:val="00"/>
    <w:family w:val="auto"/>
    <w:pitch w:val="variable"/>
    <w:embedRegular r:id="rIdFont12" w:fontKey="{52625A2D-F7CF-4BA3-A66F-C4E0F2C67B6F}"/>
  </w:font>
  <w:font w:name="Roboto Mono">
    <w:charset w:val="00"/>
    <w:family w:val="auto"/>
    <w:pitch w:val="variable"/>
    <w:embedRegular r:id="rIdFont13" w:fontKey="{6C3D6F75-7246-4CC9-BCE4-6FE056D54CB7}"/>
    <w:embedBold r:id="rIdFont14" w:fontKey="{79248C32-1AA3-425B-99B9-D84F11108894}"/>
  </w:font>
  <w:font w:name="Roboto Mono Medium">
    <w:charset w:val="00"/>
    <w:family w:val="auto"/>
    <w:pitch w:val="variable"/>
    <w:embedRegular r:id="rIdFont15" w:fontKey="{0A0088D4-8104-4DA0-B419-A85AA5B14BC5}"/>
    <w:embedItalic r:id="rIdFont16" w:fontKey="{C54703CD-FC41-4EEA-A4FA-6151B025A651}"/>
  </w:font>
  <w:font w:name="Roboto Mono SemiBold">
    <w:charset w:val="00"/>
    <w:family w:val="auto"/>
    <w:pitch w:val="variable"/>
    <w:embedRegular r:id="rIdFont17" w:fontKey="{8FEBFB7D-8CB9-4DB6-A0BD-B72D1B0B50E3}"/>
    <w:embedItalic r:id="rIdFont18" w:fontKey="{175FCB33-14D8-4223-AEA5-726FE68CD59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CoQ-PP_26-171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