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  <w:spacing w:val="0"/>
          <w:kern w:val="0"/>
        </w:rPr>
        <w:t>Аналитичка студија</w:t>
      </w:r>
      <w:r>
        <w:rPr>
          <w:rFonts w:ascii="Calibri" w:hAnsi="Calibri"/>
          <w:b w:val="0"/>
          <w:i w:val="0"/>
          <w:color w:val="595959"/>
          <w:sz w:val="22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  <w:spacing w:val="0"/>
          <w:kern w:val="0"/>
        </w:rPr>
        <w:t>Analytical study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  <w:spacing w:val="0"/>
          <w:kern w:val="0"/>
        </w:rPr>
        <w:t>Студија на потенција по сорти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  <w:spacing w:val="0"/>
          <w:kern w:val="0"/>
        </w:rPr>
        <w:t>Strain Potency Study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  <w:spacing w:val="0"/>
          <w:kern w:val="0"/>
        </w:rPr>
        <w:t>КК</w:t>
      </w:r>
      <w:r>
        <w:rPr>
          <w:rFonts w:ascii="Calibri" w:hAnsi="Calibri"/>
          <w:b w:val="0"/>
          <w:i w:val="0"/>
          <w:color w:val="595959"/>
          <w:sz w:val="20"/>
          <w:spacing w:val="0"/>
          <w:kern w:val="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  <w:spacing w:val="0"/>
          <w:kern w:val="0"/>
        </w:rPr>
        <w:t>Quality Control</w:t>
      </w:r>
    </w:p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  <w:spacing w:val="0"/>
          <w:kern w:val="0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Опфат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Scope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Сите некогаш тестирани резултати за Вкупен Δ⁹-THC, за сите серии, по сорта + предлог за нови опсези по класи за залихата од Транша 1/2/3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Every Total Δ⁹-THC result ever tested, all batches, per strain + proposed new grade ranges for the T1/T2/T3 stock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Корпус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Corpus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99 резултати од регистарот на сертификати (77 серии, 20 сорти)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99 certificate-register results (77 batches, 20 strains)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Верификација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Verification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Жива проверка на Letta-базата: 4.134 пасуси скенирани, сите вредности потврдени на изворниот систем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Live Letta knowledgebase sweep: 4,134 passages scanned, all values confirmed on the source system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2B547E"/>
                <w:sz w:val="20"/>
                <w:spacing w:val="0"/>
                <w:kern w:val="0"/>
              </w:rPr>
              <w:t>Статус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  <w:spacing w:val="0"/>
                <w:kern w:val="0"/>
              </w:rPr>
              <w:t>Status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Неформална работна анализа; меродавни остануваат лабораториските сертификати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Informal working analysis; the laboratory certificates remain authoritative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  <w:spacing w:val="0"/>
          <w:kern w:val="0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  <w:spacing w:val="0"/>
                <w:kern w:val="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  <w:spacing w:val="0"/>
                <w:kern w:val="0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Prepared (QC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Прегледал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Reviewed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  <w:spacing w:val="0"/>
                <w:kern w:val="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  <w:spacing w:val="0"/>
                <w:kern w:val="0"/>
              </w:rPr>
              <w:t>Approved (QC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  <w:spacing w:val="0"/>
                <w:kern w:val="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>
              <w:rPr>
                <w:spacing w:val="0"/>
                <w:kern w:val="0"/>
              </w:rPr>
            </w:r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  <w:spacing w:val="0"/>
          <w:kern w:val="0"/>
        </w:rPr>
        <w:t>Неформален работен документ — не е контролиран запис | Informal working document — not a controlled record</w:t>
      </w:r>
    </w:p>
    <w:p>
      <w:r>
        <w:rPr>
          <w:spacing w:val="0"/>
          <w:kern w:val="0"/>
        </w:rPr>
        <w:br w:type="page"/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1.  РЕЗИМЕ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Executive Summary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 w:val="0"/>
          <w:color w:val="16232B"/>
          <w:sz w:val="21"/>
          <w:spacing w:val="0"/>
          <w:kern w:val="0"/>
        </w:rPr>
        <w:t>Оваа студија ги собира на едно место сите резултати за Вкупен Δ⁹-THC што некогаш се тестирани за нашите серии — 99 резултати од регистарот на сертификати (77 серии, 20 сорти) — и врз нив предлага нови опсези по класи (номинала ± толеранција) за залихата од Траншите 1, 2 и 3. | This study brings every Total Δ⁹-THC result ever tested into one place — 99 certificate-register results (77 batches, 20 strains) — and proposes new grade ranges (nominal ± tolerance) for the Tranche 1/2/3 stock on top of them.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2.  ПОДАТОЦИ И ВЕРИФИКАЦИЈА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Data &amp; Verification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 w:val="0"/>
          <w:color w:val="16232B"/>
          <w:sz w:val="18"/>
          <w:spacing w:val="0"/>
          <w:kern w:val="0"/>
        </w:rPr>
        <w:t>Корпусот е компајлиран од регистарот на eCoA сертификати и потоа проверен во живо на Letta-базата на знаење (ImB_QC_COAs): 4,134 passages scanned live (ImB_QC_COAs); 176 unique Total-THC lines; all 99 register values present. | Corpus compiled from the eCoA register and live-verified against the Letta knowledgebase: 4,134 passages scanned live (ImB_QC_COAs); 176 unique Total-THC lines; all 99 register values present.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3402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Слој | Layer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Резултати | Results</w:t>
            </w:r>
          </w:p>
        </w:tc>
        <w:tc>
          <w:tcPr>
            <w:tcW w:type="dxa" w:w="4876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Забелешка | Note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Регистар на сертификати | Certificate register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99</w:t>
            </w:r>
          </w:p>
        </w:tc>
        <w:tc>
          <w:tcPr>
            <w:tcW w:type="dxa" w:w="487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77 серии, 20 сорти; секоја вредност препишана дословно | 77 batches, 20 strains; every value transcribed verbatim</w:t>
            </w:r>
          </w:p>
        </w:tc>
      </w:tr>
    </w:tbl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3.  СТАТИСТИКА ПО СОРТИ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Per-Strain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blHeader w:val="true"/>
        </w:trPr>
        <w:tc>
          <w:tcPr>
            <w:tcW w:type="dxa" w:w="3969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Сорта | Strain</w:t>
            </w:r>
          </w:p>
        </w:tc>
        <w:tc>
          <w:tcPr>
            <w:tcW w:type="dxa" w:w="2835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Бр. тестирани резултати | Number of results tested</w:t>
            </w:r>
          </w:p>
        </w:tc>
        <w:tc>
          <w:tcPr>
            <w:tcW w:type="dxa" w:w="2835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Опсег на тестираните резултати | Range of tested results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14.83% – 26.32%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Gelato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21.80% – 26.14%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17.32% – 25.27%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20.39% – 25.01%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14.93% – 24.96%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5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14.97% – 22.43%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Wedding Crasher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21.67% – 22.11%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17.13% – 21.92%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12.39% – 20.83%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13.93% – 20.54%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7.91% – 20.03%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13.34% – 18.98%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Motor Breath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16.82% – 18.67%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13.35% – 17.67%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Kush Crasher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17.04% – 17.04%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Apple and Banana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16.93% – 16.93%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10.01% – 14.06%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Graps &amp; Creme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11.53% – 11.53%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9.20% – 11.20%</w:t>
            </w:r>
          </w:p>
        </w:tc>
      </w:tr>
      <w:tr>
        <w:tc>
          <w:tcPr>
            <w:tcW w:type="dxa" w:w="3969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Clemosa a bud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</w:t>
            </w:r>
          </w:p>
        </w:tc>
        <w:tc>
          <w:tcPr>
            <w:tcW w:type="dxa" w:w="2835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8.02% – 8.02%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Ова е опсегот на СИТЕ некогаш тестирани резултати за сортата — не е предложениот опсег на потенција по класа (тој е даден подолу, во Поглавје 4, по Pot.- класи). Резултатите вклучуваат и повторени мерења на исти серии: бројката ја опишува популацијата на ТЕСТИРАНИ РЕЗУЛТАТИ, не независни серии. | This is the range of ALL results ever tested for the strain — not the proposed potency grade range (given below, in Chapter 4, per Pot.- tier). Results include repeat measurements of the same batches: the count describes the population of TESTED RESULTS, not independent batches.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4.  ДИСТРИБУЦИИ ПО СОРТИ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Per-Strain Distributions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37474F"/>
          <w:sz w:val="17"/>
          <w:spacing w:val="0"/>
          <w:kern w:val="0"/>
        </w:rPr>
        <w:t>Оска 0,00%–30,00% Вкупен Δ⁹-THC; секој резултат носи зона од ±1,50% (сините појаси — натрупувањето е визуелна густина); крива на дистрибуција за n≥3 (само облик — без збирни статистики); предложени класи Pot.-x (зелено, целосна висина); старите стандардни граници (испрекинато). | 0.00%–30.00% axis; each result carries a ±1.50% zone (blue bands — stacking is visual density); distribution curve for n≥3 (shape only — no summary statistics); proposed Pot.-x tiers (green, full height); old standard boundaries (dashed).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  Apple and Banana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AB092501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16.93%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4.2  Blue Gelato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23.40% – 28.60%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BG1024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26.14%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4.3  Blue Sunset Sherbet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– 22.00%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BSS052501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20.39%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25.00% ± 2.50%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22.50% – 27.50%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BSS1024_01/1, BSS1024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23.42%, 25.01%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4.4  Cap Junky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14.00% ± 1.40%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12.60% – 15.40%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CJ052501/02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14.93%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16.20% – 19.80%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CJ082501/2, CJ062501/2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18.29%, 18.91%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20.70% – 25.30%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CJ062501/1, CJ092501, CJ1024, CJ072501, CJ052501/01, CJ082501/1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21.51%, 22.30%, 23.00%, 23.70%, 24.05%, 24.96%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4.5  Cash Cow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11.70% – 14.30%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CC012603, CC112501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12.32%, 13.35%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16.20% – 19.80%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CC012601/1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17.67%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4.6  Clemosa a bud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8.00% ± 0.80%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7.20% – 8.80%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CLE072501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8.02%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4.7  Fat Bastard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14.00% ± 1.40%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12.60% – 15.40%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FB012601/1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14.68%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16.20% – 19.80%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FB112501, FB012603V, FB012602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16.69%, 18.29%, 18.86%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20.70% – 25.30%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FB012603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20.83%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4.8  Gorilla Glue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11.70% – 14.30%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GG1024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13.34%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GG012601, GG1024_02, GG012603, GG112501, GG1024_01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15.35%, 15.95%, 16.70%, 17.94%, 18.67%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4.9  Grape Pie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GP082501/2, GP052501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15.70%, 18.52%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18.90% – 23.10%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GP072501/2, GP082501/1, GP072501/1, GP0824_02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19.81%, 21.29%, 21.36%, 22.61%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23.40% – 28.60%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GP062501, GP0824_03, GP092501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24.89%, 25.45%, 25.73%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4.10  Graps &amp; Creme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7.00% ± 0.70%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6.30% – 7.70%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GRC102501/1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7.05%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12.00% ± 1.20%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10.80% – 13.20%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GRC102501/2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11.53%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4.11  High Pro Amnesia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HPA1024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17.31%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18.90% – 23.10%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HPA052501, HPA1024_01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20.39%, 21.61%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4.12  Jelly Donutz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14.40% – 17.60%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JD012603/02V, JD012603/01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15.16%, 16.71%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– 22.00%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JD012601, JD112501, JD012603/02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18.16%, 20.32%, 20.54%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4.13  Jokerz 31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J31102501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17.32%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18.90% – 23.10%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J31112501, J31122501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20.21%, 21.84%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4.14  Kush Crasher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KC102501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17.04%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4.15  Motor Breath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MB0824_05, MB0824_04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16.82%, 18.67%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4.16  Orange Punch Mimosa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8.00% ± 0.80%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7.20% – 8.80%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OPM122501, OPM112501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7.91%, 8.00%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10.00% ± 1.00%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9.00% – 11.00%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OPM092501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9.43%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11.70% – 14.30%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OPM052501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14.16%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Pot.-4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14.40% – 17.60%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OMP1024_01, OPM1024_03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15.38%, 16.55%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Pot.-5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– 22.00%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OPM1024_02, OPM1024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18.04%, 20.03%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4.17  Permanent Marker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10.00% ± 1.00%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9.00% – 11.00%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PM072501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10.01%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11.70% – 14.30%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PM092501, PM112501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12.25%, 13.33%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4.18  Scrambler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15.30% – 18.70%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SCR112501, SCR012603, SCR012601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17.13%, 17.84%, 18.07%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19.80% – 24.20%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SCR022601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21.92%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4.19  Sleepy Joy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9.00% ± 0.90%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8.10% – 9.90%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SJ112501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9.20%</w:t>
            </w:r>
          </w:p>
        </w:tc>
      </w:tr>
      <w:tr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70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12.00% ± 1.20%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10.80% – 13.20%</w:t>
            </w:r>
          </w:p>
        </w:tc>
        <w:tc>
          <w:tcPr>
            <w:tcW w:type="dxa" w:w="362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SJ092501, SJ102501</w:t>
            </w:r>
          </w:p>
        </w:tc>
        <w:tc>
          <w:tcPr>
            <w:tcW w:type="dxa" w:w="2268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10.96%, 11.20%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160" w:after="80"/>
        <w:outlineLvl w:val="1"/>
      </w:pPr>
      <w:r>
        <w:rPr>
          <w:rFonts w:ascii="Calibri" w:hAnsi="Calibri"/>
          <w:b/>
          <w:i w:val="0"/>
          <w:color w:val="2B547E"/>
          <w:sz w:val="32"/>
          <w:spacing w:val="0"/>
          <w:kern w:val="0"/>
        </w:rPr>
        <w:t>4.20  Wedding Crasher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6192000" cy="18370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in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370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3"/>
        <w:gridCol w:w="2093"/>
        <w:gridCol w:w="2093"/>
        <w:gridCol w:w="2093"/>
        <w:gridCol w:w="2093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70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= Опсег | = Range</w:t>
            </w:r>
          </w:p>
        </w:tc>
        <w:tc>
          <w:tcPr>
            <w:tcW w:type="dxa" w:w="362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Серии | Batches</w:t>
            </w:r>
          </w:p>
        </w:tc>
        <w:tc>
          <w:tcPr>
            <w:tcW w:type="dxa" w:w="2268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Сидра | Anchors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19.80% – 24.20%</w:t>
            </w:r>
          </w:p>
        </w:tc>
        <w:tc>
          <w:tcPr>
            <w:tcW w:type="dxa" w:w="362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WC082501, WC072501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21.67%, 22.11%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Толеранцијата е поставена најшироко што правилата дозволуваат — до 10,00% од номиналата — но никогаш толку широко што би ја допрела соседната класа: затоа две класи од иста сорта може да носат различен ± процент, по дизајн. Класите никогаш не се преклопуваат. | The tolerance is set as wide as the rules allow — up to 10.00% of the nominal — but never so wide that it would touch the neighbouring tier: that is why two tiers of the same strain can carry a different ± percentage, by design. Tiers never overlap.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5.  ПРЕДЛОГ-КЛАСИ ЗА ЗАЛИХАТА Т1/Т2/Т3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Proposed Grades for the T1/T2/T3 Stock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7"/>
          <w:spacing w:val="0"/>
          <w:kern w:val="0"/>
        </w:rPr>
        <w:t>Сидро = најнов верификуван резултат; каде нема ниту еден сертификат, основата е декларираната вредност (означено). Простор надолу = растојание од сидрото до долната граница на класата. | Anchor = latest verified result; where no certificate exists the declared value is the basis (flagged). Downward headroom = distance from the anchor to the grade floor.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Т</w:t>
            </w:r>
          </w:p>
        </w:tc>
        <w:tc>
          <w:tcPr>
            <w:tcW w:type="dxa" w:w="153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Серија | Batch</w:t>
            </w:r>
          </w:p>
        </w:tc>
        <w:tc>
          <w:tcPr>
            <w:tcW w:type="dxa" w:w="187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Сорта | Strain</w:t>
            </w:r>
          </w:p>
        </w:tc>
        <w:tc>
          <w:tcPr>
            <w:tcW w:type="dxa" w:w="1757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Сидро | Anchor (%)</w:t>
            </w:r>
          </w:p>
        </w:tc>
        <w:tc>
          <w:tcPr>
            <w:tcW w:type="dxa" w:w="1077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Стара класа | Old</w:t>
            </w:r>
          </w:p>
        </w:tc>
        <w:tc>
          <w:tcPr>
            <w:tcW w:type="dxa" w:w="850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Класа | Tier</w:t>
            </w:r>
          </w:p>
        </w:tc>
        <w:tc>
          <w:tcPr>
            <w:tcW w:type="dxa" w:w="1474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Номинала ± толер. | Nominal ± tol.</w:t>
            </w:r>
          </w:p>
        </w:tc>
        <w:tc>
          <w:tcPr>
            <w:tcW w:type="dxa" w:w="1361"/>
            <w:vAlign w:val="center"/>
            <w:shd w:val="clear" w:color="auto" w:fill="2B547E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  <w:spacing w:val="0"/>
                <w:kern w:val="0"/>
              </w:rPr>
              <w:t>Простор надолу | Headroom (%)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BG1024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Gelato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26.14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2.74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BSS1024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25.01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25.00% ± 2.50%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2.51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CJ052501/01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24.05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3.35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CJ062501/2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18.91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2.71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CJ082501/2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18.29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2.09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CC012601/1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17.67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1.47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18.86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2.66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GG012603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16.70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1.40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GG1024_01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18.67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3.37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GP052501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18.52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3.22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GP0824_02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22.61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3.71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GP082501/2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15.70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0.40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HPA1024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17.31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2.01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HPA1024_01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21.61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2.71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JD112501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20.32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2.32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J31102501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17.32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2.02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OPM1024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20.03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Pot.-5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OPM1024_02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18.04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Pot.-5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0.04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OPM122501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7.91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8.00% ± 0.80%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0.71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PM092501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12.25 (07.08.2026)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0.55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Т1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SCR012603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17.84 (07.08.2026)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2.54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ACC102501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Amnesia Core Cut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12.91 (декл. | decl.)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1.21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BSS052501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20.39 (28.11.2025)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2.39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CJ062501/1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21.51 (23.10.2025)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0.81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CJ082501/1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24.96 (21.01.2026)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4.26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CJ092501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22.30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1.60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CC012603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12.32 (декл. | decl.)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0.62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CF102501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Chem Flyer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9.83 (декл. | decl.)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10.00% ± 1.00%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0.83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CLE072501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Clemosa a bud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8.02 (21.01.2026)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8.00% ± 0.80%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0.82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14.68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14.00% ± 1.40%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2.08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GG1024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13.34 (23.04.2025)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1.64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GP072501/2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19.81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0.91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GP0824_03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25.45 (10.07.2025)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&gt;=25%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GP082501/1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21.29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2.39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GP092501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25.73 (21.01.2026)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&gt;=25%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GRC102501/2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Graps &amp; Creme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11.53 (04.03.2026)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12.00% ± 1.20%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0.73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HPA052501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High Pro Amnesia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20.39 (19.09.2025)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1.49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JD012603/01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16.71 (декл. | decl.)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JD012603/02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20.54 (30.06.2026)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2.54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JD012603/02V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15.16 (30.06.2026)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0.76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KC102501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Kush Crasher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17.04 (04.03.2026)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1.74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MB0824_05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Motor Breath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16.82 (28.07.2025)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1.52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OMP1024_01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15.38 (06.05.2025)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Pot.-4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0.98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OPM092501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9.43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10.00% ± 1.00%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0.43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OPM1024_03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16.55 (28.07.2025)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Pot.-4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2.15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PM112501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13.33 (05.03.2026)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1.63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PUM102501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Pure Michigen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15.63 (декл. | decl.)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16.00% ± 1.60%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1.23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SCR112501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17.13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1.83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SJ092501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10.96 (21.01.2026)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12.00% ± 1.20%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0.16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Т2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WC082501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Wedding Crasher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21.67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1.87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AB092501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Apple and Banana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16.93 (21.01.2026)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1.63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BSS1024_01/1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Blue Sunset Sherbet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23.42 (декл. | decl.)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25.00% ± 2.50%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0.92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CJ052501/02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14.93 (17.09.2025)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14.00% ± 1.40%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CJ072501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23.70 (28.11.2025)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3.00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CJ1024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Cap Junky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 (26.02.2025)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2.30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CC112501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Cash Cow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13.35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1.65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FB012603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20.83 (30.06.2026)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23.00% ± 2.30%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0.13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FB012603V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18.29 (30.06.2026)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2.09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FB112501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Fat Bastard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16.69 (11.05.2026)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18.00% ± 1.80%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0.49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GG012601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15.35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0.05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GG1024_02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15.95 (22.05.2025)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0.65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GG112501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Gorilla Glue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17.94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2.64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GP062501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24.89 (28.11.2025)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26.00% ± 2.60%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1.49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GP072501/1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Grape Pie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21.36 (21.01.2026)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2.46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GRC102501/1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Graps &amp; Creme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7.05 (декл. | decl.)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7.00% ± 0.70%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0.75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JD012601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Jelly Donutz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18.16 (11.05.2026)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20.00% ± 2.00%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0.16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J31112501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20.21 (09.04.2026)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&gt;=25%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1.31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J31122501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Jokerz 31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21.84 (09.04.2026)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19-22%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21.00% ± 2.10%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2.94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MB0824_04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Motor Breath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18.67 (06.05.2025)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3.37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OPM052501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14.16 (05.09.2025)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13-16%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Pot.-3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13.00% ± 1.30%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2.46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OPM112501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Orange Punch Mimosa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 (05.03.2026)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8.00% ± 0.80%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0.80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PM072501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Permanent Marker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10.01 (28.11.2025)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10.00% ± 1.00%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1.01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SCR012601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18.07 (декл. | decl.)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17.00% ± 1.70%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2.77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SCR022601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Scrambler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21.92 (06.07.2026)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16-19%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2.12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SJ102501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11.20 (04.03.2026)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10-13%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Pot.-2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12.00% ± 1.20%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0.40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SJ112501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Sleepy Joy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9.20 (04.03.2026)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7-10%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9.00% ± 0.90%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1.10</w:t>
            </w:r>
          </w:p>
        </w:tc>
      </w:tr>
      <w:tr>
        <w:tc>
          <w:tcPr>
            <w:tcW w:type="dxa" w:w="510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WED102501</w:t>
            </w:r>
          </w:p>
        </w:tc>
        <w:tc>
          <w:tcPr>
            <w:tcW w:type="dxa" w:w="187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Wedding Cake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22.05 (декл. | decl.)</w:t>
            </w:r>
          </w:p>
        </w:tc>
        <w:tc>
          <w:tcPr>
            <w:tcW w:type="dxa" w:w="1077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361"/>
            <w:vAlign w:val="center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2.25</w:t>
            </w:r>
          </w:p>
        </w:tc>
      </w:tr>
      <w:tr>
        <w:tc>
          <w:tcPr>
            <w:tcW w:type="dxa" w:w="510"/>
            <w:vAlign w:val="center"/>
            <w:shd w:val="clear" w:color="auto" w:fill="F4F7FB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Т3</w:t>
            </w:r>
          </w:p>
        </w:tc>
        <w:tc>
          <w:tcPr>
            <w:tcW w:type="dxa" w:w="153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WC072501</w:t>
            </w:r>
          </w:p>
        </w:tc>
        <w:tc>
          <w:tcPr>
            <w:tcW w:type="dxa" w:w="187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Wedding Crasher</w:t>
            </w:r>
          </w:p>
        </w:tc>
        <w:tc>
          <w:tcPr>
            <w:tcW w:type="dxa" w:w="175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22.11 (28.11.2025)</w:t>
            </w:r>
          </w:p>
        </w:tc>
        <w:tc>
          <w:tcPr>
            <w:tcW w:type="dxa" w:w="1077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22-25%</w:t>
            </w:r>
          </w:p>
        </w:tc>
        <w:tc>
          <w:tcPr>
            <w:tcW w:type="dxa" w:w="850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Pot.-1</w:t>
            </w:r>
          </w:p>
        </w:tc>
        <w:tc>
          <w:tcPr>
            <w:tcW w:type="dxa" w:w="1474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22.00% ± 2.20%</w:t>
            </w:r>
          </w:p>
        </w:tc>
        <w:tc>
          <w:tcPr>
            <w:tcW w:type="dxa" w:w="1361"/>
            <w:vAlign w:val="center"/>
            <w:shd w:val="clear" w:color="auto" w:fill="F4F7FB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color w:val="16232B"/>
                <w:sz w:val="16"/>
                <w:spacing w:val="0"/>
                <w:kern w:val="0"/>
              </w:rPr>
              <w:t>2.31</w:t>
            </w:r>
          </w:p>
        </w:tc>
      </w:tr>
    </w:tbl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4A5B6C"/>
          <w:sz w:val="16"/>
          <w:spacing w:val="0"/>
          <w:kern w:val="0"/>
        </w:rPr>
        <w:t>Жолти редови: без ниту еден сертификат на датотека — основа е декларираната вредност; овие серии да се тестираат пред формално декларирање класа. | Yellow rows: no certificate on file — declared value used as basis; test these batches before formally declaring a grade.</w:t>
      </w:r>
    </w:p>
    <w:p>
      <w:pPr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  <w:spacing w:val="0"/>
          <w:kern w:val="0"/>
        </w:rPr>
        <w:t>6.  АНЕКС — ПРЕГЛЕД НА СИТЕ СОРТИ</w:t>
      </w:r>
      <w:r>
        <w:rPr>
          <w:rFonts w:ascii="Calibri" w:hAnsi="Calibri"/>
          <w:b w:val="0"/>
          <w:i w:val="0"/>
          <w:color w:val="595959"/>
          <w:sz w:val="36"/>
          <w:spacing w:val="0"/>
          <w:kern w:val="0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  <w:spacing w:val="0"/>
          <w:kern w:val="0"/>
        </w:rPr>
        <w:t>Annex — All-Strain Overview</w:t>
      </w:r>
    </w:p>
    <w:p>
      <w:pPr>
        <w:jc w:val="center"/>
      </w:pPr>
      <w:r>
        <w:rPr>
          <w:spacing w:val="0"/>
          <w:kern w:val="0"/>
        </w:rPr>
        <w:drawing>
          <wp:inline xmlns:a="http://schemas.openxmlformats.org/drawingml/2006/main" xmlns:pic="http://schemas.openxmlformats.org/drawingml/2006/picture">
            <wp:extent cx="5580000" cy="44159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1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/>
          <w:b/>
          <w:i w:val="0"/>
          <w:color w:val="2B547E"/>
          <w:sz w:val="18"/>
          <w:spacing w:val="0"/>
          <w:kern w:val="0"/>
        </w:rPr>
        <w:t xml:space="preserve">Слика | Figure — </w:t>
      </w:r>
      <w:r>
        <w:rPr>
          <w:rFonts w:ascii="Calibri" w:hAnsi="Calibri"/>
          <w:b w:val="0"/>
          <w:i/>
          <w:color w:val="595959"/>
          <w:sz w:val="18"/>
          <w:spacing w:val="0"/>
          <w:kern w:val="0"/>
        </w:rPr>
        <w:t>Сите сорти на една оска 0,00%–30,00%: резултати и предложени класи</w:t>
      </w:r>
      <w:r>
        <w:rPr>
          <w:rFonts w:ascii="Calibri" w:hAnsi="Calibri"/>
          <w:b w:val="0"/>
          <w:i w:val="0"/>
          <w:color w:val="595959"/>
          <w:sz w:val="16"/>
          <w:spacing w:val="0"/>
          <w:kern w:val="0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  <w:spacing w:val="0"/>
          <w:kern w:val="0"/>
        </w:rPr>
        <w:t>All strains on one 0.00%–30.00% axis: results and proposed tiers</w:t>
      </w:r>
    </w:p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СТУДИЈА НА ПОТЕНЦИЈА ПО СОРТИ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Strain Potency Study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Неформален работен документ</w:t>
          </w:r>
          <w:r w:rsidRPr="008035CF">
            <w:rPr>
              <w:rFonts w:ascii="Calibri" w:hAnsi="Calibri" w:cs="Calibri"/>
            </w:rPr>
          </w:r>
          <w:r w:rsidRPr="008035CF">
            <w:rPr>
              <w:rFonts w:ascii="Calibri" w:hAnsi="Calibri" w:cs="Calibri"/>
              <w:lang w:val="mk-MK"/>
            </w:rPr>
          </w:r>
          <w:r w:rsidRPr="008035CF">
            <w:rPr>
              <w:rFonts w:ascii="Calibri" w:eastAsia="Calibri" w:hAnsi="Calibri" w:cs="Calibri"/>
            </w:rPr>
          </w:r>
          <w:r>
            <w:rPr>
              <w:rFonts w:ascii="Calibri" w:eastAsia="Calibri" w:hAnsi="Calibri" w:cs="Calibri"/>
            </w:rPr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Informal working document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</w:r>
          <w:r>
            <w:rPr>
              <w:rFonts w:ascii="Calibri" w:hAnsi="Calibri" w:cs="Calibri"/>
              <w:b/>
              <w:sz w:val="18"/>
            </w:rPr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</w:r>
          <w:r w:rsidR="00A20230">
            <w:rPr>
              <w:rFonts w:ascii="Calibri" w:hAnsi="Calibri" w:cs="Calibri"/>
            </w:rPr>
          </w:r>
          <w:r w:rsidR="00A20230" w:rsidRPr="00A20230">
            <w:rPr>
              <w:rFonts w:ascii="Calibri" w:hAnsi="Calibri" w:cs="Calibri"/>
              <w:sz w:val="16"/>
              <w:szCs w:val="16"/>
            </w:rPr>
          </w:r>
          <w:r w:rsidRPr="00A20230">
            <w:rPr>
              <w:rFonts w:ascii="Calibri" w:eastAsia="Calibri" w:hAnsi="Calibri" w:cs="Calibri"/>
              <w:sz w:val="16"/>
              <w:szCs w:val="16"/>
            </w:rPr>
          </w:r>
          <w:r w:rsidRPr="008035CF">
            <w:rPr>
              <w:rFonts w:ascii="Calibri" w:eastAsia="Calibri" w:hAnsi="Calibri" w:cs="Calibri"/>
              <w:bCs/>
            </w:rPr>
          </w:r>
          <w:r w:rsidRPr="008035CF">
            <w:rPr>
              <w:rFonts w:ascii="Calibri" w:eastAsia="Calibri" w:hAnsi="Calibri" w:cs="Calibri"/>
              <w:b/>
            </w:rPr>
          </w:r>
          <w:r w:rsidRPr="008035CF">
            <w:rPr>
              <w:rFonts w:ascii="Calibri" w:eastAsia="Calibri" w:hAnsi="Calibri" w:cs="Calibri"/>
              <w:b/>
              <w:bCs/>
            </w:rPr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