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80"/>
      </w:pPr>
      <w:r>
        <w:rPr>
          <w:rFonts w:ascii="Calibri" w:hAnsi="Calibri"/>
          <w:b/>
          <w:i w:val="0"/>
          <w:color w:val="2B547E"/>
          <w:sz w:val="20"/>
        </w:rPr>
        <w:t>ПРИЕМ — Ден 1: сеф-магацин → просторија за земање примероци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RECEIPT — Day 1: secure warehouse → sampling room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744"/>
        <w:gridCol w:w="1744"/>
        <w:gridCol w:w="1744"/>
        <w:gridCol w:w="1744"/>
        <w:gridCol w:w="1744"/>
        <w:gridCol w:w="1744"/>
      </w:tblGrid>
      <w:tr>
        <w:tc>
          <w:tcPr>
            <w:gridSpan w:val="2"/>
            <w:shd w:val="clear" w:color="auto" w:fill="F2F2F2"/>
            <w:vAlign w:val="center"/>
            <w:tcW w:type="dxa" w:w="34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Запис број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Record Number</w:t>
            </w:r>
          </w:p>
        </w:tc>
        <w:tc>
          <w:tcPr>
            <w:gridSpan w:val="4"/>
            <w:vAlign w:val="center"/>
            <w:tcW w:type="dxa" w:w="69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PP-QC-SP-002/26-D1-RCPT</w:t>
            </w:r>
          </w:p>
        </w:tc>
      </w:tr>
      <w:tr>
        <w:tc>
          <w:tcPr>
            <w:gridSpan w:val="3"/>
            <w:shd w:val="clear" w:color="auto" w:fill="2B547E"/>
            <w:vAlign w:val="center"/>
            <w:tcW w:type="dxa" w:w="52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ПРЕДАВАЊЕ ОД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HANDOVER FROM</w:t>
            </w:r>
          </w:p>
        </w:tc>
        <w:tc>
          <w:tcPr>
            <w:gridSpan w:val="3"/>
            <w:shd w:val="clear" w:color="auto" w:fill="2B547E"/>
            <w:vAlign w:val="center"/>
            <w:tcW w:type="dxa" w:w="52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ПРИЕМ ВО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HANDOVER TO</w:t>
            </w:r>
          </w:p>
        </w:tc>
      </w:tr>
      <w:tr>
        <w:tc>
          <w:tcPr>
            <w:shd w:val="clear" w:color="auto" w:fill="F2F2F2"/>
            <w:vAlign w:val="center"/>
            <w:tcW w:type="dxa" w:w="17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Оддел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Department</w:t>
            </w:r>
          </w:p>
        </w:tc>
        <w:tc>
          <w:tcPr>
            <w:shd w:val="clear" w:color="auto" w:fill="F2F2F2"/>
            <w:vAlign w:val="center"/>
            <w:tcW w:type="dxa" w:w="17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Просторија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Room</w:t>
            </w:r>
          </w:p>
        </w:tc>
        <w:tc>
          <w:tcPr>
            <w:shd w:val="clear" w:color="auto" w:fill="F2F2F2"/>
            <w:vAlign w:val="center"/>
            <w:tcW w:type="dxa" w:w="17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Процес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Process</w:t>
            </w:r>
          </w:p>
        </w:tc>
        <w:tc>
          <w:tcPr>
            <w:shd w:val="clear" w:color="auto" w:fill="F2F2F2"/>
            <w:vAlign w:val="center"/>
            <w:tcW w:type="dxa" w:w="17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Оддел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Department</w:t>
            </w:r>
          </w:p>
        </w:tc>
        <w:tc>
          <w:tcPr>
            <w:shd w:val="clear" w:color="auto" w:fill="F2F2F2"/>
            <w:vAlign w:val="center"/>
            <w:tcW w:type="dxa" w:w="17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Просторија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Room</w:t>
            </w:r>
          </w:p>
        </w:tc>
        <w:tc>
          <w:tcPr>
            <w:shd w:val="clear" w:color="auto" w:fill="F2F2F2"/>
            <w:vAlign w:val="center"/>
            <w:tcW w:type="dxa" w:w="17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Процес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Process</w:t>
            </w:r>
          </w:p>
        </w:tc>
      </w:tr>
      <w:tr>
        <w:tc>
          <w:tcPr>
            <w:vAlign w:val="center"/>
            <w:tcW w:type="dxa" w:w="17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Сеф-магацин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Secure warehouse</w:t>
            </w:r>
          </w:p>
        </w:tc>
        <w:tc>
          <w:tcPr>
            <w:vAlign w:val="center"/>
            <w:tcW w:type="dxa" w:w="17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Магацин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Store E66 · E46/47 · F131 · Sec.Pack.</w:t>
            </w:r>
          </w:p>
        </w:tc>
        <w:tc>
          <w:tcPr>
            <w:vAlign w:val="center"/>
            <w:tcW w:type="dxa" w:w="17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Складирање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Storage</w:t>
            </w:r>
          </w:p>
        </w:tc>
        <w:tc>
          <w:tcPr>
            <w:vAlign w:val="center"/>
            <w:tcW w:type="dxa" w:w="17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Контрола на квалитет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QC</w:t>
            </w:r>
          </w:p>
        </w:tc>
        <w:tc>
          <w:tcPr>
            <w:vAlign w:val="center"/>
            <w:tcW w:type="dxa" w:w="17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Просторија за земање примероци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Sampling room</w:t>
            </w:r>
          </w:p>
        </w:tc>
        <w:tc>
          <w:tcPr>
            <w:vAlign w:val="center"/>
            <w:tcW w:type="dxa" w:w="17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Земање примероци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Sampling</w:t>
            </w:r>
          </w:p>
        </w:tc>
      </w:tr>
    </w:tbl>
    <w:p>
      <w:pPr>
        <w:spacing w:before="0" w:after="0" w:line="12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304"/>
        <w:gridCol w:w="1644"/>
        <w:gridCol w:w="1644"/>
        <w:gridCol w:w="2755"/>
        <w:gridCol w:w="1304"/>
        <w:gridCol w:w="1814"/>
      </w:tblGrid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Информации за преносот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Transfer information</w:t>
            </w:r>
          </w:p>
        </w:tc>
      </w:tr>
      <w:tr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</w:t>
            </w:r>
          </w:p>
        </w:tc>
        <w:tc>
          <w:tcPr>
            <w:vAlign w:val="center"/>
            <w:tcW w:type="dxa" w:w="1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</w:t>
            </w:r>
          </w:p>
        </w:tc>
        <w:tc>
          <w:tcPr>
            <w:shd w:val="clear" w:color="auto" w:fill="F2F2F2"/>
            <w:vAlign w:val="center"/>
            <w:tcW w:type="dxa" w:w="1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Референтен документ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Reference document</w:t>
            </w:r>
          </w:p>
        </w:tc>
        <w:tc>
          <w:tcPr>
            <w:vAlign w:val="center"/>
            <w:tcW w:type="dxa" w:w="275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PP-QC-SP-002/26 · PP-QC-MHR-___/26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Серија / Лот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Batch / Lot</w:t>
            </w:r>
          </w:p>
        </w:tc>
        <w:tc>
          <w:tcPr>
            <w:vAlign w:val="center"/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 серии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46 batches</w:t>
            </w:r>
          </w:p>
        </w:tc>
      </w:tr>
      <w:tr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Забелешка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Note</w:t>
            </w:r>
          </w:p>
        </w:tc>
        <w:tc>
          <w:tcPr>
            <w:gridSpan w:val="5"/>
            <w:vAlign w:val="center"/>
            <w:tcW w:type="dxa" w:w="916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Една кеса по серија (Раководител на КК, 06.10.2026); бројот на кесата K{картон}B{кеса} се запишува при повлекувањето. Нето = етикетата на примарното пакување (400,0 g); бруто го мери КК при прием.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One bag per batch (Head of QC, 06.10.2026); the bag number K{carton}B{bag} is written at retrieval. Net = the primary-pack label (400.0 g); gross is weighed by QC at receipt.</w:t>
            </w:r>
          </w:p>
        </w:tc>
      </w:tr>
    </w:tbl>
    <w:p>
      <w:pPr>
        <w:spacing w:before="0" w:after="0" w:line="12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608"/>
        <w:gridCol w:w="2625"/>
        <w:gridCol w:w="2608"/>
        <w:gridCol w:w="2625"/>
      </w:tblGrid>
      <w:tr>
        <w:tc>
          <w:tcPr>
            <w:gridSpan w:val="2"/>
            <w:shd w:val="clear" w:color="auto" w:fill="2B547E"/>
            <w:vAlign w:val="center"/>
            <w:tcW w:type="dxa" w:w="52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Оператор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Operator</w:t>
            </w:r>
          </w:p>
        </w:tc>
        <w:tc>
          <w:tcPr>
            <w:gridSpan w:val="2"/>
            <w:shd w:val="clear" w:color="auto" w:fill="2B547E"/>
            <w:vAlign w:val="center"/>
            <w:tcW w:type="dxa" w:w="52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Супервизор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Supervised by</w:t>
            </w:r>
          </w:p>
        </w:tc>
      </w:tr>
      <w:tr>
        <w:tc>
          <w:tcPr>
            <w:shd w:val="clear" w:color="auto" w:fill="F2F2F2"/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Име Презиме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Name Surname</w:t>
            </w:r>
          </w:p>
        </w:tc>
        <w:tc>
          <w:tcPr>
            <w:shd w:val="clear" w:color="auto" w:fill="F2F2F2"/>
            <w:vAlign w:val="center"/>
            <w:tcW w:type="dxa" w:w="26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 и потпис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 and signature</w:t>
            </w:r>
          </w:p>
        </w:tc>
        <w:tc>
          <w:tcPr>
            <w:shd w:val="clear" w:color="auto" w:fill="F2F2F2"/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Име Презиме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Name Surname</w:t>
            </w:r>
          </w:p>
        </w:tc>
        <w:tc>
          <w:tcPr>
            <w:shd w:val="clear" w:color="auto" w:fill="F2F2F2"/>
            <w:vAlign w:val="center"/>
            <w:tcW w:type="dxa" w:w="26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 и потпис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 and signature</w:t>
            </w:r>
          </w:p>
        </w:tc>
      </w:tr>
      <w:tr>
        <w:trPr>
          <w:trHeight w:val="510" w:hRule="atLeast"/>
        </w:trPr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2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25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0" w:after="0" w:line="12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67"/>
        <w:gridCol w:w="3515"/>
        <w:gridCol w:w="1587"/>
        <w:gridCol w:w="1587"/>
        <w:gridCol w:w="3209"/>
      </w:tblGrid>
      <w:tr>
        <w:trPr>
          <w:tblHeader w:val="true"/>
        </w:trPr>
        <w:tc>
          <w:tcPr>
            <w:gridSpan w:val="5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Попис на контејнери/кутии/кеси — нето/бруто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Container/box/bag inventory — net/gross</w:t>
            </w:r>
          </w:p>
        </w:tc>
      </w:tr>
      <w:tr>
        <w:trPr>
          <w:tblHeader w:val="true"/>
        </w:trPr>
        <w:tc>
          <w:tcPr>
            <w:shd w:val="clear" w:color="auto" w:fill="F2F2F2"/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№</w:t>
            </w:r>
          </w:p>
        </w:tc>
        <w:tc>
          <w:tcPr>
            <w:shd w:val="clear" w:color="auto" w:fill="F2F2F2"/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Контејнер/Кутија/Кеса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Container/Box/Bag No.</w:t>
            </w:r>
          </w:p>
        </w:tc>
        <w:tc>
          <w:tcPr>
            <w:shd w:val="clear" w:color="auto" w:fill="F2F2F2"/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Нето (g)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Net (g)</w:t>
            </w:r>
          </w:p>
        </w:tc>
        <w:tc>
          <w:tcPr>
            <w:shd w:val="clear" w:color="auto" w:fill="F2F2F2"/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Бруто (g)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Gross (g)</w:t>
            </w:r>
          </w:p>
        </w:tc>
        <w:tc>
          <w:tcPr>
            <w:shd w:val="clear" w:color="auto" w:fill="F2F2F2"/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Забелешка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Remark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BG1024 · Blue Gelato · I · магацин/store E66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400,0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BSS1024 · Blue Sunset Sherbet · II · магацин/store E66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400,0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GG1024_01 · P050092 · Gorilla Glue · I · магацин/store E66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400,0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HPA1024 · High Pro Amnesia · II · магацин/store E66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400,0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OPM1024 · Orange Punch Mimosa · I · магацин/store E66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400,0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GG1024 · Gorilla Glue · II · магацин/store E66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400,0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PM092501 · P060062 · Permanent Marker · II · магацин/store E46/47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400,0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MB0824_05 · P050112 · Motor Breath · I · магацин/store E46/47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400,0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OMP1024_01 · P050042 · Orange Punch Mimosa · II · магацин/store E46/47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400,0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OPM1024_03 · P050082 · Orange Punch Mimosa · I · магацин/store E46/47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400,0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CJ052501/01 · P050162 · Cap Junky · II · магацин/store F131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400,0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CJ062501/2 · P050212 · Cap Junky · III · магацин/store F131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400,0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CJ082501/2 · P060032 · Cap Junky · IV · магацин/store F131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400,0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GP052501 · P050152 · Grape Pie · III · магацин/store F131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400,0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GP0824_02 · P050022 · Grape Pie · II · магацин/store F131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400,0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GP082501/2 · P050322 · Grape Pie · IV · магацин/store F131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400,0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HPA1024_01 · P050052 · High Pro Amnesia · I · магацин/store F131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400,0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J31102501 · P060152 · Jokerz 31 · III · магацин/store F131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400,0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JD112501 · P060212 · Jelly Donuts · I · магацин/store F131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400,0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OPM1024_02 · P050062 · Orange Punch Mimosa · II · магацин/store F131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400,0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OPM122501 · P060242 · Orange Punch Mimosa · V · магацин/store F131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400,0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ACC102501 · P060122 · Amnesia Core Cut · I · магацин/store F131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400,0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BSS052501 · P050192 · Blue Sunset Sherbet · III · магацин/store F131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400,0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CF102501 · P060132 · Chem Flyer · I · магацин/store F131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400,0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CJ062501/1 · P050222 · Cap Junky · II · магацин/store F131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400,0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CJ082501/1 · P060022 · Cap Junky · I · магацин/store F131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400,0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CJ092501 · P060072 · Cap Junky · II · магацин/store F131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400,0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GP072501/2 · P050302 · Grape Pie · III · магацин/store F131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400,0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GP0824_03 · P050072 · Grape Pie · I · магацин/store F131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400,0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GP082501/1 · P050312 · Grape Pie · II · магацин/store F131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400,0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GP092501 · P060092 · Grape Pie · II · магацин/store F131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400,0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GRC102501/2 · P060182 · Grapes And Cream · II · магацин/store F131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400,0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HPA052501 · P050182 · High Pro Amnesia · II · магацин/store F131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400,0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KC102501 · P060172 · Kush Crasher · I · магацин/store F131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400,0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PM112501 · P060232 · Permanent Marker · III · магацин/store F131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400,0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PUM102501 · P060112 · Pure Michigen · I · магацин/store F131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400,0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37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SCR112501 · P060282 · Scrambler · II · магацин/store F131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400,0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WC082501 · P060012 · Wedding Crusher · I · магацин/store F131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400,0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FB012602 · P060352 · Fat Bastard · II · магацин/store Sec.Pack.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400,0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GG012603 · P060402 · Gorilla Glue · I · магацин/store Sec.Pack.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400,0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SCR012603 · P060382 · Scrambler · II · магацин/store Sec.Pack.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400,0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CC012603 · P060372 · Cash Cow · II · магацин/store Sec.Pack.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400,0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FB012601/1 · P060322 · Fat Bastard · II · магацин/store Sec.Pack.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400,0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JD012603/01 · P060362 · Jelly Donuts · I · магацин/store Sec.Pack.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400,0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JD012603/02 · P060412 · Jelly Donuts · III · магацин/store Sec.Pack.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400,0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JD012603/02V · P060422 · Jelly Donuts · II · магацин/store Sec.Pack.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400,0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2"/>
            <w:shd w:val="clear" w:color="auto" w:fill="F2F2F2"/>
            <w:vAlign w:val="center"/>
            <w:tcW w:type="dxa" w:w="40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TOTAL</w:t>
            </w:r>
          </w:p>
        </w:tc>
        <w:tc>
          <w:tcPr>
            <w:shd w:val="clear" w:color="auto" w:fill="F2F2F2"/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18400,0</w:t>
            </w:r>
          </w:p>
        </w:tc>
        <w:tc>
          <w:tcPr>
            <w:shd w:val="clear" w:color="auto" w:fill="F2F2F2"/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46 кеси / bags</w:t>
            </w:r>
          </w:p>
        </w:tc>
      </w:tr>
    </w:tbl>
    <w:p>
      <w:pPr>
        <w:spacing w:before="0" w:after="0" w:line="12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757"/>
        <w:gridCol w:w="1757"/>
        <w:gridCol w:w="1718"/>
        <w:gridCol w:w="1757"/>
        <w:gridCol w:w="1757"/>
        <w:gridCol w:w="1718"/>
      </w:tblGrid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Потврда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Confirmation</w:t>
            </w:r>
          </w:p>
        </w:tc>
      </w:tr>
      <w:tr>
        <w:tc>
          <w:tcPr>
            <w:gridSpan w:val="3"/>
            <w:shd w:val="clear" w:color="auto" w:fill="F2F2F2"/>
            <w:vAlign w:val="center"/>
            <w:tcW w:type="dxa" w:w="52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Доставено од (магацин)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Delivered by (warehouse)</w:t>
            </w:r>
          </w:p>
        </w:tc>
        <w:tc>
          <w:tcPr>
            <w:gridSpan w:val="3"/>
            <w:shd w:val="clear" w:color="auto" w:fill="F2F2F2"/>
            <w:vAlign w:val="center"/>
            <w:tcW w:type="dxa" w:w="52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Прием од (КК)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Receipt by (QC)</w:t>
            </w:r>
          </w:p>
        </w:tc>
      </w:tr>
      <w:tr>
        <w:tc>
          <w:tcPr>
            <w:shd w:val="clear" w:color="auto" w:fill="F2F2F2"/>
            <w:vAlign w:val="center"/>
            <w:tcW w:type="dxa" w:w="175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Име Презиме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Name Surname</w:t>
            </w:r>
          </w:p>
        </w:tc>
        <w:tc>
          <w:tcPr>
            <w:shd w:val="clear" w:color="auto" w:fill="F2F2F2"/>
            <w:vAlign w:val="center"/>
            <w:tcW w:type="dxa" w:w="175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Signature</w:t>
            </w:r>
          </w:p>
        </w:tc>
        <w:tc>
          <w:tcPr>
            <w:shd w:val="clear" w:color="auto" w:fill="F2F2F2"/>
            <w:vAlign w:val="center"/>
            <w:tcW w:type="dxa" w:w="1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</w:t>
            </w:r>
          </w:p>
        </w:tc>
        <w:tc>
          <w:tcPr>
            <w:shd w:val="clear" w:color="auto" w:fill="F2F2F2"/>
            <w:vAlign w:val="center"/>
            <w:tcW w:type="dxa" w:w="175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Име Презиме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Name Surname</w:t>
            </w:r>
          </w:p>
        </w:tc>
        <w:tc>
          <w:tcPr>
            <w:shd w:val="clear" w:color="auto" w:fill="F2F2F2"/>
            <w:vAlign w:val="center"/>
            <w:tcW w:type="dxa" w:w="175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Signature</w:t>
            </w:r>
          </w:p>
        </w:tc>
        <w:tc>
          <w:tcPr>
            <w:shd w:val="clear" w:color="auto" w:fill="F2F2F2"/>
            <w:vAlign w:val="center"/>
            <w:tcW w:type="dxa" w:w="1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</w:t>
            </w:r>
          </w:p>
        </w:tc>
      </w:tr>
      <w:tr>
        <w:trPr>
          <w:trHeight w:val="510" w:hRule="atLeast"/>
        </w:trPr>
        <w:tc>
          <w:tcPr>
            <w:vAlign w:val="center"/>
            <w:tcW w:type="dxa" w:w="175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5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1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5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5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18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Запис за пренос на материјал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Material transfer record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22"/>
              <w:szCs w:val="24"/>
            </w:rPr>
            <w:t>QCT 024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IN REVIEW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