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Бр. тестирани резултати | Number of results tested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на тестираните резултати | Range of tested results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14.83% – 26.32%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21.80% – 26.14%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 – 25.27%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 – 25.01%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 – 24.96%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14.97% – 22.43%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 – 22.11%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 – 21.92%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12.39% – 20.83%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13.93% – 20.54%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20.03%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 – 18.98%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 – 18.67%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 – 17.67%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 – 17.04%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 – 16.93%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14.06%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 – 11.53%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 – 11.20%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 – 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Ова е опсегот на СИТЕ некогаш тестирани резултати за сортата — не е предложениот опсег на потенција по класа (тој е даден подолу, во Поглавје 4, по Pot.- класи). Резултатите вклучуваат и повторени мерења на исти серии: бројката ја опишува популацијата на ТЕСТИРАНИ РЕЗУЛТАТИ, не независни серии. | This is the range of ALL results ever tested for the strain — not the proposed potency grade range (given below, in Chapter 4, per Pot.- tier). Results include repeat measurements of the same batches: the count describes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0,00%–30,00% Вкупен Δ⁹-THC; секој резултат носи зона од ±1,50% (сините појаси — натрупувањето е визуелна густина); крива на дистрибуција за n≥3 (само облик — без збирни статистики); предложени класи Pot.-x (зелено, целосна висина); старите стандардни граници (испрекинато). | 0.00%–30.00% axis; each result carries a ±1.50% zone (blue bands — stacking is visual density); distribution curve for n≥3 (shape only — no summary statistics); proposed Pot.-x tiers (green, full height);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23.40% – 28.60%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18.96% – 22.04%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22.05% – 26.95%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BSS1024_01/1, 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23.42%, 25.01%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14.70% – 17.30%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 – 20.69%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18.91%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20.70% – 25.30%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21.51%, 22.30%, 23.00%, 23.70%, 24.05%, 24.96%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12.16% – 14.84%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12.32%, 13.35%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1.65%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14.85% – 18.15%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14.46% – 17.54%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14.68%, 16.69%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17.55% – 21.45%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18.86%, 20.83%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13.26% – 15.74%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13.34%, 15.35%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15.75% – 19.25%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15.95%, 16.70%, 17.94%,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15.60% – 18.40%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18.41% – 21.59%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GP072501/2, GP082501/1, GP072501/1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18.52%, 19.81%, 21.29%, 21.36%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21.60% – 26.40%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GP0824_02, 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22.61%, 24.89%, 25.45%, 25.73%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6.30% – 7.70%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11.50% ± 1.15%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10.35% – 12.65%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7.70%–10.35%: ниту еден тестиран резултат на оваа сорта не паѓа во оваа зона, и ниту еден кандидат за номинала не може да ги премости соседните класи во рамки на 10,00%-ограничувањето — резултат тука би побарал индивидуална ОК проценка. | No established grade 7.70%–10.35%: no tested result of this strain falls in this zone, and no candidate nominal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16.11% – 18.89%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20.39%, 21.61%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15.01% – 17.99%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15.16%, 16.71%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– 22.00%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18.16%, 20.32%, 20.54%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16.11% – 18.89%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18.90% – 23.10%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20.21%, 21.84%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16.20% – 19.80%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7.46% – 8.54%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7.91%, 8.00%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9.50% ± 0.95%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8.55% – 10.45%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13.45% – 15.55%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14.16%, 15.38%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15.56% – 18.44%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16.55%, 18.04%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18.45% – 22.55%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10.45%–13.45%: ниту еден тестиран резултат на оваа сорта не паѓа во оваа зона, и ниту еден кандидат за номинала не може да ги премости соседните класи во рамки на 10,00%-ограничувањето — резултат тука би побарал индивидуална ОК проценка. | No established grade 10.45%–13.45%: no tested result of this strain falls in this zone, and no candidate nominal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10.50% ± 0.74%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9.76% – 11.24%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11.25% – 13.75%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12.25%, 13.33%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16.21% – 19.79%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17.13%, 17.84%, 18.07%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8.11% – 9.89%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9.90% – 12.10%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SJ092501, 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10.96%, 11.20%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21.67%, 22.11%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Класите се декларираат одозгора надолу: најсилната (највисоката) класа има приоритет и ја зема својата полна ±10,00%, а секоја пониска се протега надолу од неа — горната ѝ граница е точно 0,01 под долната граница на класата над неа, и зема онолку од своите ±10,00% колку што може додека допира до таа граница. Затоа пониска класа е потесна само кога точното допирање не остава повеќе простор. Класите никогаш не се преклопуваат. | Tiers are declared top-down: the strongest (highest) tier gets priority and takes its full ±10.00%, and each lower tier extends downward from it — its ceiling sits exactly 0.01 below the floor of the tier above, taking as much of its own ±10.00% as it can while reaching that ceiling. A lower tier is narrower only when meeting the tier above leaves no more room. Tiers never overlap.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1.65%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1.39%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2.05%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20.50% ± 1.54%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4.13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11.50% ± 1.15%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16.50% ± 1.49%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9.50% ± 0.95%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1.44%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12.50% ± 1.25%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15.50% ± 1.55%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24.50% ± 2.45%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13.50% ± 1.34%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19.50% ± 1.95%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1.24%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17.50% ± 1.75%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1.59%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14.50% ± 1.05%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0.54%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10.50% ± 0.74%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0.89%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0,00%–30,00%: резултати и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0.00%–30.00% axis: results and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